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6191F" w:rsidRDefault="00E5706D">
      <w:pPr>
        <w:jc w:val="center"/>
        <w:rPr>
          <w:b/>
          <w:sz w:val="36"/>
          <w:szCs w:val="36"/>
        </w:rPr>
      </w:pPr>
      <w:bookmarkStart w:id="0" w:name="_GoBack"/>
      <w:bookmarkEnd w:id="0"/>
      <w:r>
        <w:rPr>
          <w:b/>
          <w:sz w:val="36"/>
          <w:szCs w:val="36"/>
        </w:rPr>
        <w:t>Ensemble Forecasts of Air Quality in Eastern China</w:t>
      </w:r>
    </w:p>
    <w:p w:rsidR="00F6191F" w:rsidRDefault="00E5706D">
      <w:pPr>
        <w:pStyle w:val="ListParagraph"/>
        <w:ind w:left="360"/>
        <w:jc w:val="center"/>
        <w:rPr>
          <w:b/>
          <w:sz w:val="28"/>
          <w:szCs w:val="28"/>
        </w:rPr>
      </w:pPr>
      <w:r>
        <w:rPr>
          <w:b/>
          <w:sz w:val="28"/>
          <w:szCs w:val="28"/>
        </w:rPr>
        <w:t>Part 1. Model Description and Implementation</w:t>
      </w:r>
    </w:p>
    <w:p w:rsidR="00F6191F" w:rsidRDefault="00E5706D">
      <w:pPr>
        <w:pStyle w:val="ListParagraph"/>
        <w:ind w:left="360"/>
        <w:jc w:val="center"/>
        <w:rPr>
          <w:b/>
          <w:sz w:val="28"/>
          <w:szCs w:val="28"/>
        </w:rPr>
      </w:pPr>
      <w:r>
        <w:rPr>
          <w:b/>
          <w:sz w:val="28"/>
          <w:szCs w:val="28"/>
        </w:rPr>
        <w:t>of the MarcoPolo-Panda Prediction System, Version 1.</w:t>
      </w:r>
    </w:p>
    <w:p w:rsidR="00F6191F" w:rsidRDefault="00F6191F"/>
    <w:p w:rsidR="00F6191F" w:rsidRDefault="00E5706D">
      <w:pPr>
        <w:pStyle w:val="ListParagraph"/>
        <w:spacing w:line="192" w:lineRule="auto"/>
        <w:ind w:left="360"/>
        <w:jc w:val="center"/>
      </w:pPr>
      <w:r>
        <w:t>Guy P. Brasseur</w:t>
      </w:r>
    </w:p>
    <w:p w:rsidR="00F6191F" w:rsidRDefault="00E5706D">
      <w:pPr>
        <w:pStyle w:val="ListParagraph"/>
        <w:spacing w:line="192" w:lineRule="auto"/>
        <w:ind w:left="360"/>
        <w:jc w:val="center"/>
        <w:rPr>
          <w:sz w:val="20"/>
          <w:szCs w:val="20"/>
        </w:rPr>
      </w:pPr>
      <w:r>
        <w:rPr>
          <w:sz w:val="20"/>
          <w:szCs w:val="20"/>
        </w:rPr>
        <w:t>Max Planck Institute for Meteorology, Hamburg, Germany</w:t>
      </w:r>
    </w:p>
    <w:p w:rsidR="00F6191F" w:rsidRDefault="00E5706D">
      <w:pPr>
        <w:pStyle w:val="ListParagraph"/>
        <w:spacing w:line="192" w:lineRule="auto"/>
        <w:ind w:left="360"/>
        <w:jc w:val="center"/>
        <w:rPr>
          <w:sz w:val="20"/>
          <w:szCs w:val="20"/>
        </w:rPr>
      </w:pPr>
      <w:r>
        <w:rPr>
          <w:sz w:val="20"/>
          <w:szCs w:val="20"/>
        </w:rPr>
        <w:t>and National Center for Atmospheric Research, Boulder, CO, USA</w:t>
      </w:r>
    </w:p>
    <w:p w:rsidR="00F6191F" w:rsidRDefault="00F6191F">
      <w:pPr>
        <w:pStyle w:val="ListParagraph"/>
        <w:spacing w:line="192" w:lineRule="auto"/>
        <w:ind w:left="360"/>
        <w:jc w:val="center"/>
        <w:rPr>
          <w:sz w:val="20"/>
          <w:szCs w:val="20"/>
        </w:rPr>
      </w:pPr>
    </w:p>
    <w:p w:rsidR="00F6191F" w:rsidRDefault="00E5706D">
      <w:pPr>
        <w:pStyle w:val="ListParagraph"/>
        <w:spacing w:line="192" w:lineRule="auto"/>
        <w:ind w:left="360"/>
        <w:jc w:val="center"/>
      </w:pPr>
      <w:r>
        <w:t>Ying Xie</w:t>
      </w:r>
    </w:p>
    <w:p w:rsidR="00F6191F" w:rsidRDefault="00E5706D">
      <w:pPr>
        <w:pStyle w:val="ListParagraph"/>
        <w:spacing w:line="192" w:lineRule="auto"/>
        <w:ind w:left="360"/>
        <w:jc w:val="center"/>
        <w:rPr>
          <w:sz w:val="20"/>
          <w:szCs w:val="20"/>
        </w:rPr>
      </w:pPr>
      <w:r>
        <w:rPr>
          <w:sz w:val="20"/>
          <w:szCs w:val="20"/>
        </w:rPr>
        <w:t>Shanghai Meteorological Service, Shanghai, China</w:t>
      </w:r>
    </w:p>
    <w:p w:rsidR="00F6191F" w:rsidRDefault="00E5706D">
      <w:pPr>
        <w:pStyle w:val="ListParagraph"/>
        <w:spacing w:line="192" w:lineRule="auto"/>
        <w:ind w:left="360"/>
        <w:jc w:val="center"/>
      </w:pPr>
      <w:r>
        <w:t xml:space="preserve"> </w:t>
      </w:r>
    </w:p>
    <w:p w:rsidR="00F6191F" w:rsidRDefault="00E5706D">
      <w:pPr>
        <w:pStyle w:val="ListParagraph"/>
        <w:spacing w:line="192" w:lineRule="auto"/>
        <w:ind w:left="360"/>
        <w:jc w:val="center"/>
      </w:pPr>
      <w:r>
        <w:t>A. Katinka Petersen</w:t>
      </w:r>
    </w:p>
    <w:p w:rsidR="00F6191F" w:rsidRDefault="00E5706D">
      <w:pPr>
        <w:pStyle w:val="ListParagraph"/>
        <w:spacing w:line="192" w:lineRule="auto"/>
        <w:ind w:left="360"/>
        <w:jc w:val="center"/>
        <w:rPr>
          <w:sz w:val="20"/>
          <w:szCs w:val="20"/>
        </w:rPr>
      </w:pPr>
      <w:r>
        <w:rPr>
          <w:sz w:val="20"/>
          <w:szCs w:val="20"/>
        </w:rPr>
        <w:t xml:space="preserve">Max Planck Institute for Meteorology, Hamburg, Germany </w:t>
      </w:r>
    </w:p>
    <w:p w:rsidR="00F6191F" w:rsidRDefault="00F6191F">
      <w:pPr>
        <w:pStyle w:val="ListParagraph"/>
        <w:spacing w:line="192" w:lineRule="auto"/>
        <w:ind w:left="360"/>
        <w:jc w:val="center"/>
      </w:pPr>
    </w:p>
    <w:p w:rsidR="00F6191F" w:rsidRDefault="00E5706D">
      <w:pPr>
        <w:pStyle w:val="ListParagraph"/>
        <w:spacing w:line="192" w:lineRule="auto"/>
        <w:ind w:left="360"/>
        <w:jc w:val="center"/>
      </w:pPr>
      <w:r>
        <w:t>Idir Bouarar</w:t>
      </w:r>
    </w:p>
    <w:p w:rsidR="00F6191F" w:rsidRDefault="00E5706D">
      <w:pPr>
        <w:pStyle w:val="ListParagraph"/>
        <w:spacing w:line="192" w:lineRule="auto"/>
        <w:ind w:left="360"/>
        <w:jc w:val="center"/>
        <w:rPr>
          <w:sz w:val="20"/>
          <w:szCs w:val="20"/>
        </w:rPr>
      </w:pPr>
      <w:r>
        <w:rPr>
          <w:sz w:val="20"/>
          <w:szCs w:val="20"/>
        </w:rPr>
        <w:t>Max Planck Institute for Meteorology, Hamburg, Germany</w:t>
      </w:r>
    </w:p>
    <w:p w:rsidR="00F6191F" w:rsidRDefault="00E5706D">
      <w:pPr>
        <w:pStyle w:val="ListParagraph"/>
        <w:spacing w:line="192" w:lineRule="auto"/>
        <w:ind w:left="360"/>
        <w:jc w:val="center"/>
      </w:pPr>
      <w:r>
        <w:t xml:space="preserve"> </w:t>
      </w:r>
    </w:p>
    <w:p w:rsidR="00F6191F" w:rsidRDefault="00E5706D">
      <w:pPr>
        <w:pStyle w:val="ListParagraph"/>
        <w:spacing w:line="192" w:lineRule="auto"/>
        <w:ind w:left="360"/>
        <w:jc w:val="center"/>
      </w:pPr>
      <w:r>
        <w:t>Johannes Flemming</w:t>
      </w:r>
    </w:p>
    <w:p w:rsidR="00F6191F" w:rsidRDefault="00E5706D">
      <w:pPr>
        <w:pStyle w:val="ListParagraph"/>
        <w:spacing w:line="192" w:lineRule="auto"/>
        <w:ind w:left="360"/>
        <w:jc w:val="center"/>
        <w:rPr>
          <w:sz w:val="20"/>
          <w:szCs w:val="20"/>
        </w:rPr>
      </w:pPr>
      <w:r>
        <w:t xml:space="preserve"> </w:t>
      </w:r>
      <w:r>
        <w:rPr>
          <w:sz w:val="20"/>
          <w:szCs w:val="20"/>
        </w:rPr>
        <w:t>European Centre for Middle Range Weather Forecasts, Reading, UK.</w:t>
      </w:r>
    </w:p>
    <w:p w:rsidR="00F6191F" w:rsidRDefault="00F6191F">
      <w:pPr>
        <w:pStyle w:val="ListParagraph"/>
        <w:spacing w:line="192" w:lineRule="auto"/>
        <w:ind w:left="360"/>
        <w:jc w:val="center"/>
      </w:pPr>
    </w:p>
    <w:p w:rsidR="00F6191F" w:rsidRDefault="00E5706D">
      <w:pPr>
        <w:pStyle w:val="ListParagraph"/>
        <w:spacing w:line="192" w:lineRule="auto"/>
        <w:ind w:left="360"/>
        <w:jc w:val="center"/>
      </w:pPr>
      <w:r>
        <w:t>Michael Gauss</w:t>
      </w:r>
    </w:p>
    <w:p w:rsidR="00F6191F" w:rsidRDefault="00E5706D">
      <w:pPr>
        <w:pStyle w:val="ListParagraph"/>
        <w:spacing w:line="192" w:lineRule="auto"/>
        <w:ind w:left="360"/>
        <w:jc w:val="center"/>
        <w:rPr>
          <w:sz w:val="20"/>
          <w:szCs w:val="20"/>
        </w:rPr>
      </w:pPr>
      <w:r>
        <w:rPr>
          <w:sz w:val="20"/>
          <w:szCs w:val="20"/>
        </w:rPr>
        <w:t>Norwegian Meteorological Institute, Oslo, Norway</w:t>
      </w:r>
    </w:p>
    <w:p w:rsidR="00F6191F" w:rsidRDefault="00F6191F">
      <w:pPr>
        <w:pStyle w:val="ListParagraph"/>
        <w:spacing w:line="192" w:lineRule="auto"/>
        <w:ind w:left="360"/>
        <w:jc w:val="center"/>
      </w:pPr>
    </w:p>
    <w:p w:rsidR="00F6191F" w:rsidRDefault="00E5706D">
      <w:pPr>
        <w:spacing w:line="192" w:lineRule="auto"/>
        <w:jc w:val="center"/>
      </w:pPr>
      <w:r>
        <w:rPr>
          <w:rFonts w:hint="eastAsia"/>
        </w:rPr>
        <w:t xml:space="preserve">Fei Jiang  </w:t>
      </w:r>
    </w:p>
    <w:p w:rsidR="00F6191F" w:rsidRDefault="00E5706D">
      <w:pPr>
        <w:spacing w:line="192" w:lineRule="auto"/>
        <w:jc w:val="center"/>
        <w:rPr>
          <w:sz w:val="20"/>
        </w:rPr>
      </w:pPr>
      <w:r>
        <w:rPr>
          <w:sz w:val="20"/>
        </w:rPr>
        <w:t>Nanjing University, Nanjing, China</w:t>
      </w:r>
    </w:p>
    <w:p w:rsidR="00F6191F" w:rsidRDefault="00F6191F">
      <w:pPr>
        <w:spacing w:line="192" w:lineRule="auto"/>
      </w:pPr>
    </w:p>
    <w:p w:rsidR="00F6191F" w:rsidRDefault="00E5706D">
      <w:pPr>
        <w:pStyle w:val="ListParagraph"/>
        <w:spacing w:line="192" w:lineRule="auto"/>
        <w:ind w:left="360"/>
        <w:jc w:val="center"/>
      </w:pPr>
      <w:r>
        <w:t>Rostislav Kouznetsov</w:t>
      </w:r>
    </w:p>
    <w:p w:rsidR="00F6191F" w:rsidRDefault="00E5706D">
      <w:pPr>
        <w:pStyle w:val="ListParagraph"/>
        <w:spacing w:line="192" w:lineRule="auto"/>
        <w:ind w:left="360"/>
        <w:jc w:val="center"/>
        <w:rPr>
          <w:sz w:val="20"/>
          <w:szCs w:val="20"/>
        </w:rPr>
      </w:pPr>
      <w:r>
        <w:t xml:space="preserve"> </w:t>
      </w:r>
      <w:r>
        <w:rPr>
          <w:sz w:val="20"/>
          <w:szCs w:val="20"/>
        </w:rPr>
        <w:t>Finnish Meteorological Institute, Helsinki, Finland.</w:t>
      </w:r>
    </w:p>
    <w:p w:rsidR="00F6191F" w:rsidRDefault="00F6191F">
      <w:pPr>
        <w:pStyle w:val="ListParagraph"/>
        <w:spacing w:line="192" w:lineRule="auto"/>
        <w:ind w:left="360"/>
        <w:jc w:val="center"/>
        <w:rPr>
          <w:sz w:val="20"/>
          <w:szCs w:val="20"/>
        </w:rPr>
      </w:pPr>
    </w:p>
    <w:p w:rsidR="00F6191F" w:rsidRDefault="00E5706D">
      <w:pPr>
        <w:pStyle w:val="ListParagraph"/>
        <w:spacing w:line="192" w:lineRule="auto"/>
        <w:ind w:left="360"/>
        <w:jc w:val="center"/>
        <w:rPr>
          <w:lang w:val="nl-NL"/>
        </w:rPr>
      </w:pPr>
      <w:r>
        <w:rPr>
          <w:lang w:val="nl-NL"/>
        </w:rPr>
        <w:t>Richard Kranenburg</w:t>
      </w:r>
    </w:p>
    <w:p w:rsidR="00F6191F" w:rsidRDefault="00E5706D">
      <w:pPr>
        <w:pStyle w:val="ListParagraph"/>
        <w:spacing w:line="192" w:lineRule="auto"/>
        <w:ind w:left="360"/>
        <w:jc w:val="center"/>
        <w:rPr>
          <w:sz w:val="20"/>
          <w:szCs w:val="20"/>
        </w:rPr>
      </w:pPr>
      <w:r>
        <w:rPr>
          <w:sz w:val="20"/>
          <w:szCs w:val="20"/>
          <w:lang w:val="nl-NL"/>
        </w:rPr>
        <w:t>TNO, Utrecht, The Netherlands</w:t>
      </w:r>
    </w:p>
    <w:p w:rsidR="00F6191F" w:rsidRDefault="00F6191F">
      <w:pPr>
        <w:pStyle w:val="ListParagraph"/>
        <w:spacing w:line="192" w:lineRule="auto"/>
        <w:ind w:left="360"/>
        <w:jc w:val="center"/>
        <w:rPr>
          <w:sz w:val="20"/>
          <w:szCs w:val="20"/>
        </w:rPr>
      </w:pPr>
    </w:p>
    <w:p w:rsidR="00F6191F" w:rsidRDefault="00E5706D">
      <w:pPr>
        <w:pStyle w:val="ListParagraph"/>
        <w:spacing w:line="192" w:lineRule="auto"/>
        <w:ind w:left="360"/>
        <w:jc w:val="center"/>
      </w:pPr>
      <w:r>
        <w:t>Bas Mijling</w:t>
      </w:r>
    </w:p>
    <w:p w:rsidR="00F6191F" w:rsidRDefault="00E5706D">
      <w:pPr>
        <w:pStyle w:val="ListParagraph"/>
        <w:spacing w:line="192" w:lineRule="auto"/>
        <w:ind w:left="360"/>
        <w:jc w:val="center"/>
        <w:rPr>
          <w:sz w:val="20"/>
          <w:szCs w:val="20"/>
        </w:rPr>
      </w:pPr>
      <w:r>
        <w:rPr>
          <w:rFonts w:eastAsia="Times New Roman" w:cs="Times New Roman"/>
          <w:sz w:val="20"/>
          <w:szCs w:val="20"/>
        </w:rPr>
        <w:t>Royal Netherlands Meteorological Institute (KNMI), De Bilt, The Netherlands</w:t>
      </w:r>
      <w:r>
        <w:rPr>
          <w:sz w:val="20"/>
          <w:szCs w:val="20"/>
        </w:rPr>
        <w:t xml:space="preserve"> </w:t>
      </w:r>
    </w:p>
    <w:p w:rsidR="00F6191F" w:rsidRDefault="00F6191F">
      <w:pPr>
        <w:pStyle w:val="ListParagraph"/>
        <w:spacing w:line="192" w:lineRule="auto"/>
        <w:ind w:left="360"/>
        <w:jc w:val="center"/>
      </w:pPr>
    </w:p>
    <w:p w:rsidR="00F6191F" w:rsidRDefault="00E5706D">
      <w:pPr>
        <w:pStyle w:val="ListParagraph"/>
        <w:spacing w:line="192" w:lineRule="auto"/>
        <w:ind w:left="360"/>
        <w:jc w:val="center"/>
      </w:pPr>
      <w:r>
        <w:t>Vincent-Henri Peuch</w:t>
      </w:r>
    </w:p>
    <w:p w:rsidR="00F6191F" w:rsidRDefault="00E5706D">
      <w:pPr>
        <w:pStyle w:val="ListParagraph"/>
        <w:spacing w:line="192" w:lineRule="auto"/>
        <w:ind w:left="360"/>
        <w:jc w:val="center"/>
        <w:rPr>
          <w:sz w:val="20"/>
          <w:szCs w:val="20"/>
          <w:lang w:eastAsia="zh-CN"/>
        </w:rPr>
      </w:pPr>
      <w:r>
        <w:rPr>
          <w:sz w:val="20"/>
          <w:szCs w:val="20"/>
        </w:rPr>
        <w:t>European Centre for Middle Range Weather Forecasts, Reading, UK</w:t>
      </w:r>
    </w:p>
    <w:p w:rsidR="00F6191F" w:rsidRDefault="00F6191F">
      <w:pPr>
        <w:pStyle w:val="ListParagraph"/>
        <w:spacing w:line="192" w:lineRule="auto"/>
        <w:ind w:left="360"/>
        <w:jc w:val="center"/>
        <w:rPr>
          <w:sz w:val="20"/>
          <w:szCs w:val="20"/>
        </w:rPr>
      </w:pPr>
    </w:p>
    <w:p w:rsidR="00F6191F" w:rsidRDefault="00E5706D">
      <w:pPr>
        <w:pStyle w:val="ListParagraph"/>
        <w:spacing w:line="192" w:lineRule="auto"/>
        <w:ind w:left="360"/>
        <w:jc w:val="center"/>
      </w:pPr>
      <w:r>
        <w:t>Matthieu Pommier</w:t>
      </w:r>
    </w:p>
    <w:p w:rsidR="00F6191F" w:rsidRDefault="00E5706D">
      <w:pPr>
        <w:pStyle w:val="ListParagraph"/>
        <w:spacing w:line="192" w:lineRule="auto"/>
        <w:ind w:left="360"/>
        <w:jc w:val="center"/>
        <w:rPr>
          <w:sz w:val="20"/>
          <w:szCs w:val="20"/>
        </w:rPr>
      </w:pPr>
      <w:r>
        <w:t xml:space="preserve"> </w:t>
      </w:r>
      <w:r>
        <w:rPr>
          <w:sz w:val="20"/>
          <w:szCs w:val="20"/>
        </w:rPr>
        <w:t>Norwegian Meteorological Institute, Oslo, Norway</w:t>
      </w:r>
    </w:p>
    <w:p w:rsidR="00F6191F" w:rsidRDefault="00F6191F">
      <w:pPr>
        <w:pStyle w:val="ListParagraph"/>
        <w:spacing w:line="192" w:lineRule="auto"/>
        <w:ind w:left="360"/>
        <w:jc w:val="center"/>
        <w:rPr>
          <w:sz w:val="20"/>
          <w:szCs w:val="20"/>
        </w:rPr>
      </w:pPr>
    </w:p>
    <w:p w:rsidR="00F6191F" w:rsidRDefault="00E5706D">
      <w:pPr>
        <w:pStyle w:val="ListParagraph"/>
        <w:spacing w:line="192" w:lineRule="auto"/>
        <w:ind w:left="360"/>
        <w:jc w:val="center"/>
      </w:pPr>
      <w:r>
        <w:t xml:space="preserve">Arjo Segers </w:t>
      </w:r>
    </w:p>
    <w:p w:rsidR="00F6191F" w:rsidRDefault="00E5706D">
      <w:pPr>
        <w:pStyle w:val="ListParagraph"/>
        <w:spacing w:line="192" w:lineRule="auto"/>
        <w:ind w:left="360"/>
        <w:jc w:val="center"/>
        <w:rPr>
          <w:sz w:val="20"/>
          <w:szCs w:val="20"/>
        </w:rPr>
      </w:pPr>
      <w:r>
        <w:rPr>
          <w:sz w:val="20"/>
          <w:szCs w:val="20"/>
        </w:rPr>
        <w:t>TNO, Utrecht, The Netherlands</w:t>
      </w:r>
    </w:p>
    <w:p w:rsidR="00F6191F" w:rsidRDefault="00F6191F">
      <w:pPr>
        <w:pStyle w:val="ListParagraph"/>
        <w:spacing w:line="192" w:lineRule="auto"/>
        <w:ind w:left="360"/>
        <w:jc w:val="center"/>
      </w:pPr>
    </w:p>
    <w:p w:rsidR="00F6191F" w:rsidRDefault="00E5706D">
      <w:pPr>
        <w:pStyle w:val="ListParagraph"/>
        <w:spacing w:line="192" w:lineRule="auto"/>
        <w:ind w:left="360"/>
        <w:jc w:val="center"/>
      </w:pPr>
      <w:r>
        <w:t>Mikhail Sofiev</w:t>
      </w:r>
    </w:p>
    <w:p w:rsidR="00F6191F" w:rsidRDefault="00E5706D">
      <w:pPr>
        <w:pStyle w:val="ListParagraph"/>
        <w:spacing w:line="192" w:lineRule="auto"/>
        <w:ind w:left="360"/>
        <w:jc w:val="center"/>
        <w:rPr>
          <w:sz w:val="20"/>
          <w:szCs w:val="20"/>
          <w:lang w:eastAsia="zh-CN"/>
        </w:rPr>
      </w:pPr>
      <w:r>
        <w:rPr>
          <w:sz w:val="20"/>
          <w:szCs w:val="20"/>
        </w:rPr>
        <w:t>Finnish Meteorological Institute, Helsinki, Finland</w:t>
      </w:r>
    </w:p>
    <w:p w:rsidR="00F6191F" w:rsidRDefault="00E5706D">
      <w:pPr>
        <w:pStyle w:val="ListParagraph"/>
        <w:spacing w:line="192" w:lineRule="auto"/>
        <w:ind w:left="360"/>
        <w:jc w:val="center"/>
      </w:pPr>
      <w:r>
        <w:t xml:space="preserve"> </w:t>
      </w:r>
    </w:p>
    <w:p w:rsidR="00F6191F" w:rsidRDefault="00E5706D">
      <w:pPr>
        <w:pStyle w:val="ListParagraph"/>
        <w:spacing w:line="192" w:lineRule="auto"/>
        <w:ind w:left="360"/>
        <w:jc w:val="center"/>
      </w:pPr>
      <w:r>
        <w:t>Renske Timmermans</w:t>
      </w:r>
    </w:p>
    <w:p w:rsidR="00F6191F" w:rsidRDefault="00E5706D">
      <w:pPr>
        <w:pStyle w:val="ListParagraph"/>
        <w:spacing w:line="192" w:lineRule="auto"/>
        <w:ind w:left="360"/>
        <w:jc w:val="center"/>
        <w:rPr>
          <w:sz w:val="20"/>
          <w:szCs w:val="20"/>
        </w:rPr>
      </w:pPr>
      <w:r>
        <w:rPr>
          <w:sz w:val="20"/>
          <w:szCs w:val="20"/>
        </w:rPr>
        <w:t>TNO, Utrecht, The Netherlands</w:t>
      </w:r>
    </w:p>
    <w:p w:rsidR="00F6191F" w:rsidRDefault="00E5706D">
      <w:pPr>
        <w:pStyle w:val="ListParagraph"/>
        <w:spacing w:line="192" w:lineRule="auto"/>
        <w:ind w:left="360"/>
        <w:jc w:val="center"/>
      </w:pPr>
      <w:r>
        <w:t xml:space="preserve"> </w:t>
      </w:r>
    </w:p>
    <w:p w:rsidR="00F6191F" w:rsidRDefault="00E5706D">
      <w:pPr>
        <w:pStyle w:val="ListParagraph"/>
        <w:spacing w:line="192" w:lineRule="auto"/>
        <w:ind w:left="360"/>
        <w:jc w:val="center"/>
      </w:pPr>
      <w:r>
        <w:t>Ronald van der A</w:t>
      </w:r>
    </w:p>
    <w:p w:rsidR="00F6191F" w:rsidRDefault="00E5706D">
      <w:pPr>
        <w:pStyle w:val="ListParagraph"/>
        <w:spacing w:line="192" w:lineRule="auto"/>
        <w:ind w:left="360"/>
        <w:jc w:val="center"/>
        <w:rPr>
          <w:sz w:val="20"/>
          <w:szCs w:val="20"/>
        </w:rPr>
      </w:pPr>
      <w:r>
        <w:rPr>
          <w:rFonts w:eastAsia="Times New Roman" w:cs="Times New Roman"/>
          <w:sz w:val="20"/>
          <w:szCs w:val="20"/>
        </w:rPr>
        <w:t>Royal Netherlands Meteorological Institute (KNMI), De Bilt, The Netherlands,</w:t>
      </w:r>
      <w:r>
        <w:rPr>
          <w:rFonts w:eastAsia="Times New Roman" w:cs="Times New Roman"/>
          <w:sz w:val="20"/>
          <w:szCs w:val="20"/>
        </w:rPr>
        <w:br/>
        <w:t>and Nanjing University of Information Science and Technology, Nanjing, China</w:t>
      </w:r>
      <w:r>
        <w:rPr>
          <w:sz w:val="20"/>
          <w:szCs w:val="20"/>
        </w:rPr>
        <w:t xml:space="preserve"> </w:t>
      </w:r>
    </w:p>
    <w:p w:rsidR="00F6191F" w:rsidRDefault="00F6191F">
      <w:pPr>
        <w:pStyle w:val="ListParagraph"/>
        <w:spacing w:line="192" w:lineRule="auto"/>
        <w:ind w:left="360"/>
        <w:jc w:val="center"/>
      </w:pPr>
    </w:p>
    <w:p w:rsidR="00F6191F" w:rsidRDefault="00E5706D">
      <w:pPr>
        <w:pStyle w:val="ListParagraph"/>
        <w:spacing w:line="192" w:lineRule="auto"/>
        <w:ind w:left="360"/>
        <w:jc w:val="center"/>
      </w:pPr>
      <w:r>
        <w:t>Stacy Walters</w:t>
      </w:r>
    </w:p>
    <w:p w:rsidR="00F6191F" w:rsidRDefault="00E5706D">
      <w:pPr>
        <w:pStyle w:val="ListParagraph"/>
        <w:spacing w:line="192" w:lineRule="auto"/>
        <w:ind w:left="360"/>
        <w:jc w:val="center"/>
        <w:rPr>
          <w:sz w:val="20"/>
          <w:szCs w:val="20"/>
        </w:rPr>
      </w:pPr>
      <w:r>
        <w:rPr>
          <w:sz w:val="20"/>
          <w:szCs w:val="20"/>
        </w:rPr>
        <w:t>National Center for Atmospheric Research, Boulder, CO, USA</w:t>
      </w:r>
    </w:p>
    <w:p w:rsidR="00F6191F" w:rsidRDefault="00F6191F">
      <w:pPr>
        <w:pStyle w:val="ListParagraph"/>
        <w:spacing w:line="192" w:lineRule="auto"/>
        <w:ind w:left="360"/>
        <w:jc w:val="center"/>
      </w:pPr>
    </w:p>
    <w:p w:rsidR="00F6191F" w:rsidRDefault="00E5706D">
      <w:pPr>
        <w:pStyle w:val="ListParagraph"/>
        <w:spacing w:line="192" w:lineRule="auto"/>
        <w:ind w:left="360"/>
        <w:jc w:val="center"/>
      </w:pPr>
      <w:r>
        <w:t xml:space="preserve">Jianming Xu </w:t>
      </w:r>
    </w:p>
    <w:p w:rsidR="00F6191F" w:rsidRDefault="00E5706D">
      <w:pPr>
        <w:pStyle w:val="ListParagraph"/>
        <w:spacing w:line="192" w:lineRule="auto"/>
        <w:ind w:left="360"/>
        <w:jc w:val="center"/>
        <w:rPr>
          <w:sz w:val="20"/>
          <w:szCs w:val="20"/>
        </w:rPr>
      </w:pPr>
      <w:r>
        <w:rPr>
          <w:sz w:val="20"/>
          <w:szCs w:val="20"/>
        </w:rPr>
        <w:t>Shanghai Meteorological Service, Shanghai, China</w:t>
      </w:r>
    </w:p>
    <w:p w:rsidR="00F6191F" w:rsidRDefault="00F6191F">
      <w:pPr>
        <w:pStyle w:val="ListParagraph"/>
        <w:spacing w:line="192" w:lineRule="auto"/>
        <w:ind w:left="360"/>
        <w:jc w:val="center"/>
        <w:rPr>
          <w:sz w:val="20"/>
          <w:szCs w:val="20"/>
        </w:rPr>
      </w:pPr>
    </w:p>
    <w:p w:rsidR="00F6191F" w:rsidRDefault="00E5706D">
      <w:pPr>
        <w:pStyle w:val="ListParagraph"/>
        <w:spacing w:line="192" w:lineRule="auto"/>
        <w:ind w:left="360"/>
        <w:jc w:val="center"/>
      </w:pPr>
      <w:r>
        <w:rPr>
          <w:rFonts w:cs="Times"/>
          <w:lang w:val="en-US"/>
        </w:rPr>
        <w:t xml:space="preserve">Guangqiang </w:t>
      </w:r>
      <w:r>
        <w:t>Zhou</w:t>
      </w:r>
    </w:p>
    <w:p w:rsidR="00F6191F" w:rsidRDefault="00E5706D">
      <w:pPr>
        <w:pStyle w:val="ListParagraph"/>
        <w:spacing w:line="192" w:lineRule="auto"/>
        <w:ind w:left="360"/>
        <w:jc w:val="center"/>
        <w:rPr>
          <w:sz w:val="20"/>
          <w:szCs w:val="20"/>
        </w:rPr>
      </w:pPr>
      <w:r>
        <w:t xml:space="preserve">  </w:t>
      </w:r>
      <w:r>
        <w:rPr>
          <w:sz w:val="20"/>
          <w:szCs w:val="20"/>
        </w:rPr>
        <w:t>Shanghai Meteorological Service, Shanghai, China</w:t>
      </w:r>
      <w:r>
        <w:rPr>
          <w:b/>
        </w:rPr>
        <w:br w:type="page"/>
      </w:r>
    </w:p>
    <w:p w:rsidR="00F6191F" w:rsidRDefault="00E5706D">
      <w:pPr>
        <w:rPr>
          <w:b/>
        </w:rPr>
      </w:pPr>
      <w:r>
        <w:rPr>
          <w:b/>
        </w:rPr>
        <w:lastRenderedPageBreak/>
        <w:br w:type="page"/>
      </w:r>
    </w:p>
    <w:p w:rsidR="00F6191F" w:rsidRDefault="00E5706D">
      <w:pPr>
        <w:pStyle w:val="ListParagraph"/>
        <w:ind w:left="360"/>
        <w:rPr>
          <w:b/>
          <w:sz w:val="28"/>
          <w:szCs w:val="28"/>
        </w:rPr>
      </w:pPr>
      <w:r>
        <w:rPr>
          <w:b/>
          <w:sz w:val="28"/>
          <w:szCs w:val="28"/>
        </w:rPr>
        <w:lastRenderedPageBreak/>
        <w:t>Abstract</w:t>
      </w:r>
    </w:p>
    <w:p w:rsidR="00F6191F" w:rsidRDefault="00F6191F">
      <w:pPr>
        <w:pStyle w:val="ListParagraph"/>
        <w:ind w:left="360"/>
        <w:rPr>
          <w:b/>
        </w:rPr>
      </w:pPr>
    </w:p>
    <w:p w:rsidR="00F6191F" w:rsidRDefault="00E5706D">
      <w:pPr>
        <w:jc w:val="both"/>
      </w:pPr>
      <w:r>
        <w:t xml:space="preserve">An operational multi-model forecasting system for air quality including 9 different chemical transport models has been developed and is providing daily forecasts of ozone, nitrogen oxides, and particulate matter for the 37 largest urban areas of China (population higher than 3 million in 2010). These individual forecasts as well as the mean and median concentrations for the next 3 days are displayed on a publicly accessible web site (www.marcopolo-panda.eu). The paper describes the forecasting system and shows some selected illustrative examples of air quality predictions. It presents an inter-comparison of the different forecasts performed during a given period of time (1-15 March 2017), and highlights recurrent differences between the model output as well as systematic biases that appear in the median concentration values. Pathways to improve the forecasts by the multi-model system are suggested. </w:t>
      </w:r>
    </w:p>
    <w:p w:rsidR="00F6191F" w:rsidRDefault="00F6191F">
      <w:pPr>
        <w:rPr>
          <w:b/>
        </w:rPr>
      </w:pPr>
    </w:p>
    <w:p w:rsidR="00F6191F" w:rsidRDefault="00F6191F">
      <w:pPr>
        <w:rPr>
          <w:b/>
        </w:rPr>
      </w:pPr>
    </w:p>
    <w:p w:rsidR="00F6191F" w:rsidRDefault="00E5706D">
      <w:pPr>
        <w:rPr>
          <w:b/>
        </w:rPr>
      </w:pPr>
      <w:r>
        <w:rPr>
          <w:b/>
        </w:rPr>
        <w:br w:type="page"/>
      </w:r>
    </w:p>
    <w:p w:rsidR="00F6191F" w:rsidRDefault="00E5706D">
      <w:pPr>
        <w:rPr>
          <w:b/>
        </w:rPr>
      </w:pPr>
      <w:r>
        <w:rPr>
          <w:b/>
        </w:rPr>
        <w:lastRenderedPageBreak/>
        <w:br w:type="page"/>
      </w:r>
    </w:p>
    <w:p w:rsidR="00F6191F" w:rsidRDefault="00E5706D">
      <w:pPr>
        <w:pStyle w:val="ListParagraph"/>
        <w:numPr>
          <w:ilvl w:val="0"/>
          <w:numId w:val="1"/>
        </w:numPr>
        <w:rPr>
          <w:b/>
        </w:rPr>
      </w:pPr>
      <w:r>
        <w:rPr>
          <w:b/>
        </w:rPr>
        <w:lastRenderedPageBreak/>
        <w:t xml:space="preserve">Introduction </w:t>
      </w:r>
    </w:p>
    <w:p w:rsidR="00F6191F" w:rsidRDefault="00F6191F"/>
    <w:p w:rsidR="00F6191F" w:rsidRDefault="00E5706D">
      <w:pPr>
        <w:jc w:val="both"/>
        <w:rPr>
          <w:rFonts w:cs="Times New Roman"/>
        </w:rPr>
      </w:pPr>
      <w:r>
        <w:t xml:space="preserve">The rapid economic growth in China has been accompanied with a substantial degradation of air quality, particularly in the densely populated areas of the eastern part of the country. Air pollution is the source of </w:t>
      </w:r>
      <w:r>
        <w:rPr>
          <w:rFonts w:cs="Times New Roman"/>
        </w:rPr>
        <w:t>cardiovascular and respiratory illness, increased stress to heart and lungs and cell damage in the respiratory system, which in turn can result in fatalities resulting from ischemic heart disease, chronic obstructive pulmonary disease (COPD) and Lower Respiratory Infections. To address this problem, China is taking effective measures to reduce the emission of primary pollutants such as nitrogen oxides (NOx), volatile organic compounds (VOCs) and particulate mat</w:t>
      </w:r>
      <w:r>
        <w:rPr>
          <w:rFonts w:cs="Times New Roman" w:hint="eastAsia"/>
          <w:lang w:eastAsia="zh-CN"/>
        </w:rPr>
        <w:t>t</w:t>
      </w:r>
      <w:r>
        <w:rPr>
          <w:rFonts w:cs="Times New Roman"/>
        </w:rPr>
        <w:t xml:space="preserve">er (PM). In addition to these long-term mitigation measures, immediate action can be taken to avoid the occasional occurrence of acute air pollution episodes, particularly in winter during stable meteorological situations, by drastically reducing emissions associated with polluting activities during the periods of predicted events. The implementation of such measures requires that accurate forecasts of air quality be produced and made available to local and regional authorities. Alerts to warn the public of the imminence of acute pollution episodes can be released several days before the event on the basis of model predictions. </w:t>
      </w:r>
    </w:p>
    <w:p w:rsidR="00F6191F" w:rsidRDefault="00E5706D">
      <w:r>
        <w:rPr>
          <w:rFonts w:ascii="Times New Roman" w:hAnsi="Times New Roman" w:cs="Times New Roman"/>
        </w:rPr>
        <w:t xml:space="preserve"> </w:t>
      </w:r>
    </w:p>
    <w:p w:rsidR="00F6191F" w:rsidRDefault="00E5706D">
      <w:pPr>
        <w:jc w:val="both"/>
      </w:pPr>
      <w:r>
        <w:t xml:space="preserve">Advanced forecast models include a detailed formulation of the chemical and physical processes responsible for the formation of secondary pollutants such as ozone and particulate matter in response to the emissions of primary species produced as a result of industrial, agricultural and residential activities, energy production and transportation. These models simulate the transport of these constituents by the atmospheric circulation as well as vertical exchanges by convective motions and turbulent boundary layer mixing. Meteorological information provided by weather forecast models is therefore an essential input to regional air quality models. Surface deposition of oxidized compounds and wet scavenging of soluble species are also taken into account. The atmospheric concentrations of the chemical and physically interacting species are obtained by solving a mathematically stiff system of partial differential equations with appropriate initial and boundary conditions.  </w:t>
      </w:r>
    </w:p>
    <w:p w:rsidR="00F6191F" w:rsidRDefault="00F6191F">
      <w:pPr>
        <w:jc w:val="both"/>
      </w:pPr>
    </w:p>
    <w:p w:rsidR="00F6191F" w:rsidRDefault="00E5706D">
      <w:pPr>
        <w:jc w:val="both"/>
      </w:pPr>
      <w:r>
        <w:t xml:space="preserve">The approach used to produce predictions of air quality bears a lot of resemblance with the methods used for weather forecasts. In both cases, </w:t>
      </w:r>
      <w:r>
        <w:rPr>
          <w:rFonts w:cs="Times New Roman"/>
        </w:rPr>
        <w:t>models make use of similar numerical algorithms, assimilate data, produce large amounts of output that have to be analysed and evaluated, and eventually disseminated to the public in the form of easily accessible information. The steady progress made in the numerical weather prediction since the 1980’s (Bauer et al., 2015), through combined scientific, computational and observational advances, has also considerably improved our capability of providing predictive information on air quality and on its impacts for human society (i.e., health, food production and the state of ecosystems).</w:t>
      </w:r>
    </w:p>
    <w:p w:rsidR="00F6191F" w:rsidRDefault="00F6191F">
      <w:pPr>
        <w:jc w:val="both"/>
      </w:pPr>
    </w:p>
    <w:p w:rsidR="00F6191F" w:rsidRDefault="00E5706D">
      <w:pPr>
        <w:jc w:val="both"/>
      </w:pPr>
      <w:r>
        <w:t xml:space="preserve">Many models are available for operationally forecasting air quality [Kukkonen et al., 2012] and have been tested in different contexts.  These models are usually driven by different input data (surface emissions, weather forecasts, chemical schemes, aerosol formulation, land use data, boundary conditions, etc.) and hence generate different output (e.g., different concentrations of chemical species). In most cases, it is difficult to clearly distinguish between models that perform well and models that perform poorly because the success of individual models varies with the conditions that are encountered (e.g., geographic location, season, </w:t>
      </w:r>
      <w:r>
        <w:lastRenderedPageBreak/>
        <w:t xml:space="preserve">meteorological situation) and can be different for the different chemical species and for different statistical parameters. If the models involved have been developed rather independently from each other their results can be combined and their individual behaviours can be examined by comparing the predicted fields to the median or the mean derived from the ensemble of simulations. Much can be learned from a systematic day-by-day examination of the model behaviour operated in a forecast mode. </w:t>
      </w:r>
    </w:p>
    <w:p w:rsidR="00F6191F" w:rsidRDefault="00F6191F">
      <w:pPr>
        <w:jc w:val="both"/>
      </w:pPr>
    </w:p>
    <w:p w:rsidR="00F6191F" w:rsidRDefault="00E5706D">
      <w:pPr>
        <w:jc w:val="both"/>
      </w:pPr>
      <w:r>
        <w:t>Building ensemble of models is an attractive approach to forecast air quality, because the inter-model variability provides insight on the robustness of the results or conversely on their uncertainties [McKeen et al., 2004; Vautard et al., 2006; Solazzo et al., 2012]. Further, the composite products have usually better overall performance than the results produced by individual systems [Mc Keen et al., 2004; Galmarini et al., 2013; Riccio et al., 2007; Sofiev, 2015; 2017]. This approach is especially useful in the context of decision-making since it samples the uncertainty space associated with the different individual forecasts.</w:t>
      </w:r>
    </w:p>
    <w:p w:rsidR="00F6191F" w:rsidRDefault="00F6191F"/>
    <w:p w:rsidR="00F6191F" w:rsidRDefault="00E5706D">
      <w:pPr>
        <w:jc w:val="both"/>
      </w:pPr>
      <w:r>
        <w:t xml:space="preserve">Numerical weather forecast is usually based on a single model ensemble in which the initial conditions are slightly perturbed so that different likely evolutions of the atmospheric dynamics can be projected. In the case of air quality forecasts, which are not only initial value problems, it is advisable to also perturb emissions, meteorology and boundary conditions as well as model parameters (kinetic reaction rates…), which is best performed by considering a multi-model ensemble [Dabberdt and Miller, 2000]. Nevertheless, in addition, it would also be useful to assess the behaviour of a single air quality model that is driven by different realizations of ensemble meteorological forecasts, different emission scenarios and different chemical schemes.  </w:t>
      </w:r>
    </w:p>
    <w:p w:rsidR="00F6191F" w:rsidRDefault="00F6191F">
      <w:pPr>
        <w:jc w:val="both"/>
      </w:pPr>
    </w:p>
    <w:p w:rsidR="00F6191F" w:rsidRDefault="00E5706D">
      <w:pPr>
        <w:jc w:val="both"/>
      </w:pPr>
      <w:r>
        <w:t>The models used in the present study have been developed rather independently, and this leads to a rather broad range of model results. Model performance does not only depend on the quality of emissions datasets: they differ for a wide range of reasons, including dynamical and weather aspects but also the adopted formulation (e.g., parameterisations, operator splitting, time integration) and numerical algorithms. An inspection of the different choices made in the models can lead to some improvements in model configurations, and hence will reduce the “artificial” spread between calculated fields. This spread often results from errors in the configuration (e.g., set-up bugs) or from inaccuracies in the adopted input parameters (e.g., land-use). By including each model configuration within a large ensemble, the combined performance of the forecast system is considerably less affected by initial implementation issues or inadequate choice of input parameters applied in individual models.</w:t>
      </w:r>
    </w:p>
    <w:p w:rsidR="00F6191F" w:rsidRDefault="00F6191F">
      <w:pPr>
        <w:jc w:val="both"/>
      </w:pPr>
    </w:p>
    <w:p w:rsidR="00F6191F" w:rsidRDefault="00E5706D">
      <w:pPr>
        <w:jc w:val="both"/>
      </w:pPr>
      <w:r>
        <w:t xml:space="preserve">This paper describes the early phase of a system that forecasts air quality in eastern China. The system can be characterized as a multi-model “ensemble of opportunity” (as defined by a combination of models running in their default configurations) that is evolving into an operational air quality ensemble prediction system, similar to the system established in Europe under the Copernicus Atmospheric Monitoring Service (CAMS) [Marecal et al., 2015]. The concept adopted here will be briefly presented in Section 2. Section 3 presents a description of the different models and Section 4 briefly discusses the performance of the whole system and of the contributing models. A second paper (Petersen et al., 2018) discusses in more detail the performance of the forecast system including the representativeness of </w:t>
      </w:r>
      <w:r>
        <w:lastRenderedPageBreak/>
        <w:t xml:space="preserve">the model-observation discrepancies, specifically in urban areas. Approaches to improve the performance of the system are presented in Section 5. </w:t>
      </w:r>
    </w:p>
    <w:p w:rsidR="00F6191F" w:rsidRDefault="00F6191F"/>
    <w:p w:rsidR="00F6191F" w:rsidRDefault="00E5706D">
      <w:pPr>
        <w:jc w:val="both"/>
      </w:pPr>
      <w:r>
        <w:t>The ensemble of models considered in the present study has been assembled under the Panda and MarcoPolo projects supported by the European Commission within the Framework Programme 7 (FP7). Seven models were initially included in the operational system: the global IFS model developed and operated by the European Centre for Middle Range Weather Forecasts (ECMWF), five regional models implemented by European research and service institutions (CHIMERE by the Royal Netherlands Meteorological Institute (KNMI), WRF-Chem-MPIM by the Max Planck Institute for Meteorology (MPIM), SILAM by Finnish Meteorological Institute (FMI), EMEP/MSC-W by the Norwegian Meteorological Institute (MET.Norway), LOTOS-EUROS by The Netherlands Organisation for Applied Scientific Research (TNO)), and one model (WRF-Chem-SMS) applied in China by the Shanghai Meteorological Service (SMS). In later steps, forecasts by additional regional models applied by Nanjing University (WRF-CMAQ) and by the Shanghai Meteorological Service (WARMS-CMAQ) were added to the ensemble. In the following Section, we provide a brief overview of these different models. Only seven of them contribute to the inter-comparison presented in Section 4.</w:t>
      </w:r>
    </w:p>
    <w:p w:rsidR="00F6191F" w:rsidRDefault="00F6191F"/>
    <w:p w:rsidR="00F6191F" w:rsidRDefault="00F6191F">
      <w:pPr>
        <w:rPr>
          <w:b/>
        </w:rPr>
      </w:pPr>
    </w:p>
    <w:p w:rsidR="00F6191F" w:rsidRDefault="00E5706D">
      <w:pPr>
        <w:pStyle w:val="ListParagraph"/>
        <w:numPr>
          <w:ilvl w:val="0"/>
          <w:numId w:val="1"/>
        </w:numPr>
        <w:rPr>
          <w:b/>
        </w:rPr>
      </w:pPr>
      <w:r>
        <w:rPr>
          <w:b/>
        </w:rPr>
        <w:t>Description of the Models included in the Ensemble</w:t>
      </w:r>
    </w:p>
    <w:p w:rsidR="00F6191F" w:rsidRDefault="00F6191F">
      <w:pPr>
        <w:pStyle w:val="ListParagraph"/>
        <w:ind w:left="360"/>
        <w:rPr>
          <w:b/>
        </w:rPr>
      </w:pPr>
    </w:p>
    <w:p w:rsidR="00F6191F" w:rsidRDefault="00E5706D">
      <w:pPr>
        <w:pStyle w:val="ListParagraph"/>
        <w:ind w:left="0"/>
      </w:pPr>
      <w:r>
        <w:t>In the following subsections, each of the 9 participating models will be described. Table 2a-b presents the key characteristics of each model involved in the inter-comparison and Table 3 summarizes the emissions adopted in each model.</w:t>
      </w:r>
    </w:p>
    <w:p w:rsidR="00F6191F" w:rsidRDefault="00F6191F">
      <w:pPr>
        <w:rPr>
          <w:b/>
        </w:rPr>
      </w:pPr>
    </w:p>
    <w:p w:rsidR="00F6191F" w:rsidRDefault="00E5706D">
      <w:pPr>
        <w:pStyle w:val="ListParagraph"/>
        <w:ind w:left="0"/>
        <w:rPr>
          <w:b/>
          <w:i/>
        </w:rPr>
      </w:pPr>
      <w:r>
        <w:rPr>
          <w:b/>
          <w:i/>
        </w:rPr>
        <w:t>2.1. IFS</w:t>
      </w:r>
    </w:p>
    <w:p w:rsidR="00F6191F" w:rsidRDefault="00E5706D">
      <w:pPr>
        <w:pStyle w:val="ListParagraph"/>
        <w:ind w:left="0"/>
      </w:pPr>
      <w:r>
        <w:t xml:space="preserve"> </w:t>
      </w:r>
    </w:p>
    <w:p w:rsidR="00F6191F" w:rsidRDefault="00E5706D">
      <w:pPr>
        <w:autoSpaceDE w:val="0"/>
        <w:autoSpaceDN w:val="0"/>
        <w:adjustRightInd w:val="0"/>
        <w:spacing w:after="120"/>
        <w:jc w:val="both"/>
        <w:rPr>
          <w:rFonts w:cs="Arial"/>
          <w:color w:val="000000" w:themeColor="text1"/>
        </w:rPr>
      </w:pPr>
      <w:r>
        <w:rPr>
          <w:rFonts w:cs="Arial"/>
          <w:color w:val="000000" w:themeColor="text1"/>
        </w:rPr>
        <w:t xml:space="preserve">IFS (Integrated Forecasting System) is ECMWF’s global Numerical Weather Prediction system. As part of the past series of European projects MACC and now of CAMS, the Copernicus Atmosphere Monitoring Service, IFS has been developed to represent optionally chemical processes in the troposphere and in the stratosphere. Flemming et al. (2015) provide a detailed description of the modelling of chemical processes in the IFS, and Inness et al. (2015) describe the data assimilation aspects. </w:t>
      </w:r>
    </w:p>
    <w:p w:rsidR="00F6191F" w:rsidRDefault="00E5706D">
      <w:pPr>
        <w:autoSpaceDE w:val="0"/>
        <w:autoSpaceDN w:val="0"/>
        <w:adjustRightInd w:val="0"/>
        <w:spacing w:after="120"/>
        <w:jc w:val="both"/>
        <w:rPr>
          <w:rFonts w:eastAsia="Times New Roman" w:cs="Arial"/>
          <w:color w:val="000000" w:themeColor="text1"/>
          <w:shd w:val="clear" w:color="auto" w:fill="FFFFFF"/>
          <w:lang w:eastAsia="en-GB"/>
        </w:rPr>
      </w:pPr>
      <w:r>
        <w:rPr>
          <w:rFonts w:cs="Arial"/>
          <w:color w:val="000000" w:themeColor="text1"/>
        </w:rPr>
        <w:t xml:space="preserve">For the work presented here, the version of IFS used is Cycle 43R1 (see documentation at https://www.ecmwf.int/en/forecasts/documentation-and-support/changes-ecmwf-model/ifs-documentation). The model is run globally at a resolution of T511 (about 40km) on the horizontal, and with 60 levels on the vertical extending up to the top of the stratosphere. </w:t>
      </w:r>
      <w:r>
        <w:rPr>
          <w:rFonts w:eastAsia="Times New Roman" w:cs="Arial"/>
          <w:color w:val="000000" w:themeColor="text1"/>
          <w:shd w:val="clear" w:color="auto" w:fill="FFFFFF"/>
          <w:lang w:eastAsia="en-GB"/>
        </w:rPr>
        <w:t xml:space="preserve">The chemical package used originates from the TM5 Chemistry and Transport Model </w:t>
      </w:r>
      <w:r>
        <w:rPr>
          <w:rFonts w:cs="Arial"/>
          <w:color w:val="000000" w:themeColor="text1"/>
        </w:rPr>
        <w:t>(Huijnen et al., 2010)</w:t>
      </w:r>
      <w:r>
        <w:rPr>
          <w:rFonts w:eastAsia="Times New Roman" w:cs="Arial"/>
          <w:color w:val="000000" w:themeColor="text1"/>
          <w:shd w:val="clear" w:color="auto" w:fill="FFFFFF"/>
          <w:lang w:eastAsia="en-GB"/>
        </w:rPr>
        <w:t xml:space="preserve">. It has been fully integrated into the IFS code and comprises 54 tracers and 120 reactions focusing on tropospheric ozone-CO-NMVOC-NOx chemistry. In the configuration used here, stratospheric ozone is modelled with a simple linearized scheme. Aerosols are represented using the scheme described by Morcrette et al. (2009), which includes 5 species: </w:t>
      </w:r>
      <w:r>
        <w:rPr>
          <w:rFonts w:cs="Arial"/>
          <w:color w:val="000000" w:themeColor="text1"/>
        </w:rPr>
        <w:t xml:space="preserve">dust, sea-salt, black carbon, organic carbon and sulphates. </w:t>
      </w:r>
      <w:r>
        <w:rPr>
          <w:rFonts w:eastAsia="Times New Roman" w:cs="Arial"/>
          <w:color w:val="000000" w:themeColor="text1"/>
          <w:shd w:val="clear" w:color="auto" w:fill="FFFFFF"/>
          <w:lang w:eastAsia="en-GB"/>
        </w:rPr>
        <w:t xml:space="preserve">Tracers are transported using the semi-Lagrangian scheme available in IFS with a mass fixer activated in order to minimise mass non-conservation. </w:t>
      </w:r>
    </w:p>
    <w:p w:rsidR="00F6191F" w:rsidRDefault="00E5706D">
      <w:pPr>
        <w:autoSpaceDE w:val="0"/>
        <w:autoSpaceDN w:val="0"/>
        <w:adjustRightInd w:val="0"/>
        <w:spacing w:after="120"/>
        <w:jc w:val="both"/>
        <w:rPr>
          <w:rFonts w:cs="Arial"/>
          <w:color w:val="000000" w:themeColor="text1"/>
        </w:rPr>
      </w:pPr>
      <w:r>
        <w:rPr>
          <w:rFonts w:cs="Arial"/>
          <w:color w:val="000000" w:themeColor="text1"/>
        </w:rPr>
        <w:lastRenderedPageBreak/>
        <w:t xml:space="preserve">During the study period, IFS has been run twice daily (5-day forecasts) assimilating a range of satellite chemical data on top of the full list of meteorological satellite and non-satellite data that ECMWF uses for its medium-range weather forecasts. Table </w:t>
      </w:r>
      <w:r>
        <w:rPr>
          <w:rFonts w:cs="Arial" w:hint="eastAsia"/>
          <w:color w:val="000000" w:themeColor="text1"/>
          <w:lang w:eastAsia="zh-CN"/>
        </w:rPr>
        <w:t>1</w:t>
      </w:r>
      <w:r>
        <w:rPr>
          <w:rFonts w:cs="Arial"/>
          <w:color w:val="000000" w:themeColor="text1"/>
        </w:rPr>
        <w:t xml:space="preserve"> indicates the satellite data streams actively assimilated for the experiments presented here. As a result, IFS forecasts benefit from all these observations to afford a realistic representation of large scales for weather parameters as well as, to some extent, for chemical variables (species assimilated).</w:t>
      </w:r>
    </w:p>
    <w:p w:rsidR="00F6191F" w:rsidRDefault="00E5706D">
      <w:pPr>
        <w:autoSpaceDE w:val="0"/>
        <w:autoSpaceDN w:val="0"/>
        <w:adjustRightInd w:val="0"/>
        <w:spacing w:after="120"/>
        <w:jc w:val="both"/>
        <w:rPr>
          <w:rFonts w:cs="Arial"/>
          <w:color w:val="000000" w:themeColor="text1"/>
        </w:rPr>
      </w:pPr>
      <w:r>
        <w:rPr>
          <w:rFonts w:cs="Arial"/>
          <w:color w:val="000000" w:themeColor="text1"/>
        </w:rPr>
        <w:t xml:space="preserve">IFS used the MACCITY emission data set updated for the year 2017. Biogenic emissions of VOC were taken from a climatology of a multi-year MEGAN model simulation. Daily emissions from biomass burning were derived from satellite retrieval of fire radiative power (FRP) from the MODIS instruments by the Global Fire Assimilation System (GFAS, Kaiser et al. 2012). The observed fire emissions from the day before the forecast start are used for all five days of the forecast. Desert dust and sea salt emissions were simulated online for each time step based on the IFS meteorological fields and the land use.    </w:t>
      </w:r>
    </w:p>
    <w:p w:rsidR="00F6191F" w:rsidRDefault="00E5706D">
      <w:pPr>
        <w:pStyle w:val="NormalWeb"/>
        <w:jc w:val="both"/>
        <w:rPr>
          <w:rFonts w:asciiTheme="minorHAnsi" w:eastAsia="Times New Roman" w:hAnsiTheme="minorHAnsi" w:cstheme="minorHAnsi"/>
          <w:sz w:val="24"/>
          <w:szCs w:val="24"/>
        </w:rPr>
      </w:pPr>
      <w:r>
        <w:rPr>
          <w:rFonts w:asciiTheme="minorHAnsi" w:hAnsiTheme="minorHAnsi" w:cstheme="minorHAnsi"/>
          <w:color w:val="000000" w:themeColor="text1"/>
          <w:sz w:val="24"/>
          <w:szCs w:val="24"/>
        </w:rPr>
        <w:t xml:space="preserve">As part of CAMS, the chemical configuration of IFS benefits from routine detailed evaluations. Validation reports are produced quarterly and can be found here (http://atmosphere.copernicus.eu/quarterly_validation_reports). The report for the period March-May 2017 provides insight on the overall performance of the runs that are also presented here. Further information about the IFS code can be obtained from Vincent-Henri Peuch </w:t>
      </w:r>
      <w:hyperlink r:id="rId9" w:history="1">
        <w:r>
          <w:rPr>
            <w:rStyle w:val="Hyperlink"/>
            <w:rFonts w:asciiTheme="minorHAnsi" w:hAnsiTheme="minorHAnsi" w:cstheme="minorHAnsi"/>
            <w:sz w:val="24"/>
            <w:szCs w:val="24"/>
          </w:rPr>
          <w:t>Vincent-henri.peuch@ecmwf.int</w:t>
        </w:r>
      </w:hyperlink>
      <w:r>
        <w:rPr>
          <w:rFonts w:asciiTheme="minorHAnsi" w:hAnsiTheme="minorHAnsi" w:cstheme="minorHAnsi"/>
          <w:color w:val="000000" w:themeColor="text1"/>
          <w:sz w:val="24"/>
          <w:szCs w:val="24"/>
        </w:rPr>
        <w:t xml:space="preserve"> and on the web site </w:t>
      </w:r>
      <w:r>
        <w:rPr>
          <w:rFonts w:asciiTheme="minorHAnsi" w:eastAsia="Times New Roman" w:hAnsiTheme="minorHAnsi" w:cstheme="minorHAnsi"/>
          <w:color w:val="0000FF"/>
          <w:sz w:val="24"/>
          <w:szCs w:val="24"/>
        </w:rPr>
        <w:t xml:space="preserve">https://www.ecmwf.int/en/about/what-we-do/environmental-services/copernicus- atmosphere-monitoring-service </w:t>
      </w:r>
    </w:p>
    <w:p w:rsidR="00F6191F" w:rsidRDefault="00E5706D">
      <w:pPr>
        <w:autoSpaceDE w:val="0"/>
        <w:autoSpaceDN w:val="0"/>
        <w:adjustRightInd w:val="0"/>
        <w:spacing w:after="120"/>
        <w:jc w:val="both"/>
        <w:rPr>
          <w:rFonts w:cs="Arial"/>
          <w:color w:val="000000" w:themeColor="text1"/>
        </w:rPr>
      </w:pPr>
      <w:r>
        <w:rPr>
          <w:rFonts w:cs="Arial"/>
          <w:color w:val="000000" w:themeColor="text1"/>
        </w:rPr>
        <w:t xml:space="preserve"> </w:t>
      </w:r>
    </w:p>
    <w:p w:rsidR="00F6191F" w:rsidRDefault="00F6191F">
      <w:pPr>
        <w:autoSpaceDE w:val="0"/>
        <w:autoSpaceDN w:val="0"/>
        <w:adjustRightInd w:val="0"/>
        <w:spacing w:after="120"/>
        <w:jc w:val="both"/>
        <w:rPr>
          <w:rFonts w:eastAsia="Times New Roman" w:cs="Arial"/>
          <w:color w:val="000000" w:themeColor="text1"/>
          <w:shd w:val="clear" w:color="auto" w:fill="FFFFFF"/>
          <w:lang w:eastAsia="en-GB"/>
        </w:rPr>
      </w:pPr>
    </w:p>
    <w:p w:rsidR="00F6191F" w:rsidRDefault="00E5706D">
      <w:pPr>
        <w:rPr>
          <w:rFonts w:cs="Arial"/>
          <w:b/>
        </w:rPr>
      </w:pPr>
      <w:r>
        <w:rPr>
          <w:rFonts w:cs="Arial"/>
          <w:b/>
        </w:rPr>
        <w:t>Table 1. Satellite data streams (atmospheric composition variables only) assimilated in IFS.</w:t>
      </w:r>
    </w:p>
    <w:p w:rsidR="00F6191F" w:rsidRDefault="00F6191F">
      <w:pPr>
        <w:autoSpaceDE w:val="0"/>
        <w:autoSpaceDN w:val="0"/>
        <w:adjustRightInd w:val="0"/>
        <w:rPr>
          <w:rFonts w:cs="Arial"/>
        </w:rPr>
      </w:pPr>
    </w:p>
    <w:tbl>
      <w:tblPr>
        <w:tblStyle w:val="LightList-Accent5"/>
        <w:tblW w:w="9253" w:type="dxa"/>
        <w:tblLayout w:type="fixed"/>
        <w:tblLook w:val="04A0" w:firstRow="1" w:lastRow="0" w:firstColumn="1" w:lastColumn="0" w:noHBand="0" w:noVBand="1"/>
      </w:tblPr>
      <w:tblGrid>
        <w:gridCol w:w="1424"/>
        <w:gridCol w:w="2435"/>
        <w:gridCol w:w="2029"/>
        <w:gridCol w:w="1704"/>
        <w:gridCol w:w="1661"/>
      </w:tblGrid>
      <w:tr w:rsidR="00F6191F" w:rsidTr="00F619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4" w:type="dxa"/>
          </w:tcPr>
          <w:p w:rsidR="00F6191F" w:rsidRDefault="00E5706D">
            <w:pPr>
              <w:rPr>
                <w:rFonts w:cs="Arial"/>
                <w:b w:val="0"/>
                <w:color w:val="000000" w:themeColor="text1"/>
              </w:rPr>
            </w:pPr>
            <w:r>
              <w:rPr>
                <w:rFonts w:cs="Arial"/>
                <w:bCs w:val="0"/>
                <w:color w:val="000000" w:themeColor="text1"/>
              </w:rPr>
              <w:t>Instrument</w:t>
            </w:r>
          </w:p>
        </w:tc>
        <w:tc>
          <w:tcPr>
            <w:tcW w:w="2435" w:type="dxa"/>
          </w:tcPr>
          <w:p w:rsidR="00F6191F" w:rsidRDefault="00E5706D">
            <w:pPr>
              <w:cnfStyle w:val="100000000000" w:firstRow="1" w:lastRow="0" w:firstColumn="0" w:lastColumn="0" w:oddVBand="0" w:evenVBand="0" w:oddHBand="0" w:evenHBand="0" w:firstRowFirstColumn="0" w:firstRowLastColumn="0" w:lastRowFirstColumn="0" w:lastRowLastColumn="0"/>
              <w:rPr>
                <w:rFonts w:cs="Arial"/>
                <w:b w:val="0"/>
                <w:color w:val="000000" w:themeColor="text1"/>
              </w:rPr>
            </w:pPr>
            <w:r>
              <w:rPr>
                <w:rFonts w:cs="Arial"/>
                <w:bCs w:val="0"/>
                <w:color w:val="000000" w:themeColor="text1"/>
              </w:rPr>
              <w:t>Satellite</w:t>
            </w:r>
          </w:p>
        </w:tc>
        <w:tc>
          <w:tcPr>
            <w:tcW w:w="2029" w:type="dxa"/>
          </w:tcPr>
          <w:p w:rsidR="00F6191F" w:rsidRDefault="00E5706D">
            <w:pPr>
              <w:cnfStyle w:val="100000000000" w:firstRow="1" w:lastRow="0" w:firstColumn="0" w:lastColumn="0" w:oddVBand="0" w:evenVBand="0" w:oddHBand="0" w:evenHBand="0" w:firstRowFirstColumn="0" w:firstRowLastColumn="0" w:lastRowFirstColumn="0" w:lastRowLastColumn="0"/>
              <w:rPr>
                <w:rFonts w:cs="Arial"/>
                <w:b w:val="0"/>
                <w:color w:val="000000" w:themeColor="text1"/>
              </w:rPr>
            </w:pPr>
            <w:r>
              <w:rPr>
                <w:rFonts w:cs="Arial"/>
                <w:bCs w:val="0"/>
                <w:color w:val="000000" w:themeColor="text1"/>
              </w:rPr>
              <w:t>Space Agency</w:t>
            </w:r>
          </w:p>
        </w:tc>
        <w:tc>
          <w:tcPr>
            <w:tcW w:w="1704" w:type="dxa"/>
          </w:tcPr>
          <w:p w:rsidR="00F6191F" w:rsidRDefault="00E5706D">
            <w:pPr>
              <w:cnfStyle w:val="100000000000" w:firstRow="1" w:lastRow="0" w:firstColumn="0" w:lastColumn="0" w:oddVBand="0" w:evenVBand="0" w:oddHBand="0" w:evenHBand="0" w:firstRowFirstColumn="0" w:firstRowLastColumn="0" w:lastRowFirstColumn="0" w:lastRowLastColumn="0"/>
              <w:rPr>
                <w:rFonts w:cs="Arial"/>
                <w:b w:val="0"/>
                <w:color w:val="000000" w:themeColor="text1"/>
              </w:rPr>
            </w:pPr>
            <w:r>
              <w:rPr>
                <w:rFonts w:cs="Arial"/>
                <w:bCs w:val="0"/>
                <w:color w:val="000000" w:themeColor="text1"/>
              </w:rPr>
              <w:t>Data Provider</w:t>
            </w:r>
          </w:p>
        </w:tc>
        <w:tc>
          <w:tcPr>
            <w:tcW w:w="1661" w:type="dxa"/>
          </w:tcPr>
          <w:p w:rsidR="00F6191F" w:rsidRDefault="00E5706D">
            <w:pPr>
              <w:cnfStyle w:val="100000000000" w:firstRow="1" w:lastRow="0" w:firstColumn="0" w:lastColumn="0" w:oddVBand="0" w:evenVBand="0" w:oddHBand="0" w:evenHBand="0" w:firstRowFirstColumn="0" w:firstRowLastColumn="0" w:lastRowFirstColumn="0" w:lastRowLastColumn="0"/>
              <w:rPr>
                <w:rFonts w:cs="Arial"/>
                <w:b w:val="0"/>
                <w:color w:val="000000" w:themeColor="text1"/>
              </w:rPr>
            </w:pPr>
            <w:r>
              <w:rPr>
                <w:rFonts w:cs="Arial"/>
                <w:bCs w:val="0"/>
                <w:color w:val="000000" w:themeColor="text1"/>
              </w:rPr>
              <w:t>Species</w:t>
            </w:r>
          </w:p>
        </w:tc>
      </w:tr>
      <w:tr w:rsidR="00F6191F" w:rsidTr="00F6191F">
        <w:tc>
          <w:tcPr>
            <w:cnfStyle w:val="001000000000" w:firstRow="0" w:lastRow="0" w:firstColumn="1" w:lastColumn="0" w:oddVBand="0" w:evenVBand="0" w:oddHBand="0" w:evenHBand="0" w:firstRowFirstColumn="0" w:firstRowLastColumn="0" w:lastRowFirstColumn="0" w:lastRowLastColumn="0"/>
            <w:tcW w:w="1424" w:type="dxa"/>
            <w:tcBorders>
              <w:top w:val="single" w:sz="8" w:space="0" w:color="5B9BD5" w:themeColor="accent5"/>
              <w:left w:val="single" w:sz="8" w:space="0" w:color="5B9BD5" w:themeColor="accent5"/>
              <w:bottom w:val="single" w:sz="8" w:space="0" w:color="5B9BD5" w:themeColor="accent5"/>
            </w:tcBorders>
          </w:tcPr>
          <w:p w:rsidR="00F6191F" w:rsidRDefault="00895583">
            <w:pPr>
              <w:rPr>
                <w:rFonts w:cs="Arial"/>
                <w:b w:val="0"/>
                <w:bCs w:val="0"/>
                <w:color w:val="000000" w:themeColor="text1"/>
              </w:rPr>
            </w:pPr>
            <w:hyperlink r:id="rId10" w:tgtFrame="_blank" w:history="1">
              <w:r w:rsidR="00E5706D">
                <w:rPr>
                  <w:rStyle w:val="Hyperlink"/>
                  <w:rFonts w:cs="Arial"/>
                  <w:color w:val="000000" w:themeColor="text1"/>
                </w:rPr>
                <w:t>MODIS</w:t>
              </w:r>
            </w:hyperlink>
          </w:p>
        </w:tc>
        <w:tc>
          <w:tcPr>
            <w:tcW w:w="2435" w:type="dxa"/>
            <w:tcBorders>
              <w:top w:val="single" w:sz="8" w:space="0" w:color="5B9BD5" w:themeColor="accent5"/>
              <w:bottom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EOS-Aqua, EOS-Terra</w:t>
            </w:r>
          </w:p>
        </w:tc>
        <w:tc>
          <w:tcPr>
            <w:tcW w:w="2029" w:type="dxa"/>
            <w:tcBorders>
              <w:top w:val="single" w:sz="8" w:space="0" w:color="5B9BD5" w:themeColor="accent5"/>
              <w:bottom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NASA</w:t>
            </w:r>
          </w:p>
        </w:tc>
        <w:tc>
          <w:tcPr>
            <w:tcW w:w="1704" w:type="dxa"/>
            <w:tcBorders>
              <w:top w:val="single" w:sz="8" w:space="0" w:color="5B9BD5" w:themeColor="accent5"/>
              <w:bottom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NASA</w:t>
            </w:r>
          </w:p>
        </w:tc>
        <w:tc>
          <w:tcPr>
            <w:tcW w:w="1661" w:type="dxa"/>
            <w:tcBorders>
              <w:top w:val="single" w:sz="8" w:space="0" w:color="5B9BD5" w:themeColor="accent5"/>
              <w:bottom w:val="single" w:sz="8" w:space="0" w:color="5B9BD5" w:themeColor="accent5"/>
              <w:right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AOD</w:t>
            </w:r>
          </w:p>
        </w:tc>
      </w:tr>
      <w:tr w:rsidR="00F6191F" w:rsidTr="00F6191F">
        <w:tc>
          <w:tcPr>
            <w:cnfStyle w:val="001000000000" w:firstRow="0" w:lastRow="0" w:firstColumn="1" w:lastColumn="0" w:oddVBand="0" w:evenVBand="0" w:oddHBand="0" w:evenHBand="0" w:firstRowFirstColumn="0" w:firstRowLastColumn="0" w:lastRowFirstColumn="0" w:lastRowLastColumn="0"/>
            <w:tcW w:w="1424" w:type="dxa"/>
          </w:tcPr>
          <w:p w:rsidR="00F6191F" w:rsidRDefault="00895583">
            <w:pPr>
              <w:rPr>
                <w:rFonts w:cs="Arial"/>
                <w:b w:val="0"/>
                <w:bCs w:val="0"/>
                <w:color w:val="000000" w:themeColor="text1"/>
              </w:rPr>
            </w:pPr>
            <w:hyperlink r:id="rId11" w:tgtFrame="_blank" w:history="1">
              <w:r w:rsidR="00E5706D">
                <w:rPr>
                  <w:rStyle w:val="Hyperlink"/>
                  <w:rFonts w:cs="Arial"/>
                  <w:color w:val="000000" w:themeColor="text1"/>
                </w:rPr>
                <w:t>MLS</w:t>
              </w:r>
            </w:hyperlink>
          </w:p>
        </w:tc>
        <w:tc>
          <w:tcPr>
            <w:tcW w:w="2435" w:type="dxa"/>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EOS-Aura</w:t>
            </w:r>
          </w:p>
        </w:tc>
        <w:tc>
          <w:tcPr>
            <w:tcW w:w="2029" w:type="dxa"/>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NASA</w:t>
            </w:r>
          </w:p>
        </w:tc>
        <w:tc>
          <w:tcPr>
            <w:tcW w:w="1704" w:type="dxa"/>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 </w:t>
            </w:r>
          </w:p>
        </w:tc>
        <w:tc>
          <w:tcPr>
            <w:tcW w:w="1661" w:type="dxa"/>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O3 profile</w:t>
            </w:r>
          </w:p>
        </w:tc>
      </w:tr>
      <w:tr w:rsidR="00F6191F" w:rsidTr="00F6191F">
        <w:tc>
          <w:tcPr>
            <w:cnfStyle w:val="001000000000" w:firstRow="0" w:lastRow="0" w:firstColumn="1" w:lastColumn="0" w:oddVBand="0" w:evenVBand="0" w:oddHBand="0" w:evenHBand="0" w:firstRowFirstColumn="0" w:firstRowLastColumn="0" w:lastRowFirstColumn="0" w:lastRowLastColumn="0"/>
            <w:tcW w:w="1424" w:type="dxa"/>
            <w:tcBorders>
              <w:top w:val="single" w:sz="8" w:space="0" w:color="5B9BD5" w:themeColor="accent5"/>
              <w:left w:val="single" w:sz="8" w:space="0" w:color="5B9BD5" w:themeColor="accent5"/>
              <w:bottom w:val="single" w:sz="8" w:space="0" w:color="5B9BD5" w:themeColor="accent5"/>
            </w:tcBorders>
          </w:tcPr>
          <w:p w:rsidR="00F6191F" w:rsidRDefault="00895583">
            <w:pPr>
              <w:rPr>
                <w:rFonts w:cs="Arial"/>
                <w:b w:val="0"/>
                <w:bCs w:val="0"/>
                <w:color w:val="000000" w:themeColor="text1"/>
              </w:rPr>
            </w:pPr>
            <w:hyperlink r:id="rId12" w:tgtFrame="_blank" w:history="1">
              <w:r w:rsidR="00E5706D">
                <w:rPr>
                  <w:rStyle w:val="Hyperlink"/>
                  <w:rFonts w:cs="Arial"/>
                  <w:color w:val="000000" w:themeColor="text1"/>
                </w:rPr>
                <w:t>OMI</w:t>
              </w:r>
            </w:hyperlink>
          </w:p>
        </w:tc>
        <w:tc>
          <w:tcPr>
            <w:tcW w:w="2435" w:type="dxa"/>
            <w:tcBorders>
              <w:top w:val="single" w:sz="8" w:space="0" w:color="5B9BD5" w:themeColor="accent5"/>
              <w:bottom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EOS-Aura</w:t>
            </w:r>
          </w:p>
        </w:tc>
        <w:tc>
          <w:tcPr>
            <w:tcW w:w="2029" w:type="dxa"/>
            <w:tcBorders>
              <w:top w:val="single" w:sz="8" w:space="0" w:color="5B9BD5" w:themeColor="accent5"/>
              <w:bottom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NASA</w:t>
            </w:r>
          </w:p>
        </w:tc>
        <w:tc>
          <w:tcPr>
            <w:tcW w:w="1704" w:type="dxa"/>
            <w:tcBorders>
              <w:top w:val="single" w:sz="8" w:space="0" w:color="5B9BD5" w:themeColor="accent5"/>
              <w:bottom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KNMI</w:t>
            </w:r>
          </w:p>
        </w:tc>
        <w:tc>
          <w:tcPr>
            <w:tcW w:w="1661" w:type="dxa"/>
            <w:tcBorders>
              <w:top w:val="single" w:sz="8" w:space="0" w:color="5B9BD5" w:themeColor="accent5"/>
              <w:bottom w:val="single" w:sz="8" w:space="0" w:color="5B9BD5" w:themeColor="accent5"/>
              <w:right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O3, NO2, SO2</w:t>
            </w:r>
          </w:p>
        </w:tc>
      </w:tr>
      <w:tr w:rsidR="00F6191F" w:rsidTr="00F6191F">
        <w:tc>
          <w:tcPr>
            <w:cnfStyle w:val="001000000000" w:firstRow="0" w:lastRow="0" w:firstColumn="1" w:lastColumn="0" w:oddVBand="0" w:evenVBand="0" w:oddHBand="0" w:evenHBand="0" w:firstRowFirstColumn="0" w:firstRowLastColumn="0" w:lastRowFirstColumn="0" w:lastRowLastColumn="0"/>
            <w:tcW w:w="1424" w:type="dxa"/>
          </w:tcPr>
          <w:p w:rsidR="00F6191F" w:rsidRDefault="00895583">
            <w:pPr>
              <w:rPr>
                <w:rFonts w:cs="Arial"/>
                <w:b w:val="0"/>
                <w:bCs w:val="0"/>
                <w:color w:val="000000" w:themeColor="text1"/>
              </w:rPr>
            </w:pPr>
            <w:hyperlink r:id="rId13" w:tgtFrame="_blank" w:history="1">
              <w:r w:rsidR="00E5706D">
                <w:rPr>
                  <w:rStyle w:val="Hyperlink"/>
                  <w:rFonts w:cs="Arial"/>
                  <w:color w:val="000000" w:themeColor="text1"/>
                </w:rPr>
                <w:t>SBUV-2</w:t>
              </w:r>
            </w:hyperlink>
          </w:p>
        </w:tc>
        <w:tc>
          <w:tcPr>
            <w:tcW w:w="2435" w:type="dxa"/>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NOAA-19</w:t>
            </w:r>
          </w:p>
        </w:tc>
        <w:tc>
          <w:tcPr>
            <w:tcW w:w="2029" w:type="dxa"/>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NOAA</w:t>
            </w:r>
          </w:p>
        </w:tc>
        <w:tc>
          <w:tcPr>
            <w:tcW w:w="1704" w:type="dxa"/>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NOAA</w:t>
            </w:r>
          </w:p>
        </w:tc>
        <w:tc>
          <w:tcPr>
            <w:tcW w:w="1661" w:type="dxa"/>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O3 profile</w:t>
            </w:r>
          </w:p>
        </w:tc>
      </w:tr>
      <w:tr w:rsidR="00F6191F" w:rsidTr="00F6191F">
        <w:tc>
          <w:tcPr>
            <w:cnfStyle w:val="001000000000" w:firstRow="0" w:lastRow="0" w:firstColumn="1" w:lastColumn="0" w:oddVBand="0" w:evenVBand="0" w:oddHBand="0" w:evenHBand="0" w:firstRowFirstColumn="0" w:firstRowLastColumn="0" w:lastRowFirstColumn="0" w:lastRowLastColumn="0"/>
            <w:tcW w:w="1424" w:type="dxa"/>
            <w:tcBorders>
              <w:top w:val="single" w:sz="8" w:space="0" w:color="5B9BD5" w:themeColor="accent5"/>
              <w:left w:val="single" w:sz="8" w:space="0" w:color="5B9BD5" w:themeColor="accent5"/>
              <w:bottom w:val="single" w:sz="8" w:space="0" w:color="5B9BD5" w:themeColor="accent5"/>
            </w:tcBorders>
          </w:tcPr>
          <w:p w:rsidR="00F6191F" w:rsidRDefault="00895583">
            <w:pPr>
              <w:rPr>
                <w:rFonts w:cs="Arial"/>
                <w:b w:val="0"/>
                <w:bCs w:val="0"/>
                <w:color w:val="000000" w:themeColor="text1"/>
              </w:rPr>
            </w:pPr>
            <w:hyperlink r:id="rId14" w:tgtFrame="_blank" w:history="1">
              <w:r w:rsidR="00E5706D">
                <w:rPr>
                  <w:rStyle w:val="Hyperlink"/>
                  <w:rFonts w:cs="Arial"/>
                  <w:color w:val="000000" w:themeColor="text1"/>
                </w:rPr>
                <w:t>IASI</w:t>
              </w:r>
            </w:hyperlink>
          </w:p>
        </w:tc>
        <w:tc>
          <w:tcPr>
            <w:tcW w:w="2435" w:type="dxa"/>
            <w:tcBorders>
              <w:top w:val="single" w:sz="8" w:space="0" w:color="5B9BD5" w:themeColor="accent5"/>
              <w:bottom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METOP-A, METOP-B</w:t>
            </w:r>
          </w:p>
        </w:tc>
        <w:tc>
          <w:tcPr>
            <w:tcW w:w="2029" w:type="dxa"/>
            <w:tcBorders>
              <w:top w:val="single" w:sz="8" w:space="0" w:color="5B9BD5" w:themeColor="accent5"/>
              <w:bottom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EUMETSAT/CNES</w:t>
            </w:r>
          </w:p>
        </w:tc>
        <w:tc>
          <w:tcPr>
            <w:tcW w:w="1704" w:type="dxa"/>
            <w:tcBorders>
              <w:top w:val="single" w:sz="8" w:space="0" w:color="5B9BD5" w:themeColor="accent5"/>
              <w:bottom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ULB/LATMOS</w:t>
            </w:r>
          </w:p>
        </w:tc>
        <w:tc>
          <w:tcPr>
            <w:tcW w:w="1661" w:type="dxa"/>
            <w:tcBorders>
              <w:top w:val="single" w:sz="8" w:space="0" w:color="5B9BD5" w:themeColor="accent5"/>
              <w:bottom w:val="single" w:sz="8" w:space="0" w:color="5B9BD5" w:themeColor="accent5"/>
              <w:right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CO</w:t>
            </w:r>
          </w:p>
        </w:tc>
      </w:tr>
      <w:tr w:rsidR="00F6191F" w:rsidTr="00F6191F">
        <w:tc>
          <w:tcPr>
            <w:cnfStyle w:val="001000000000" w:firstRow="0" w:lastRow="0" w:firstColumn="1" w:lastColumn="0" w:oddVBand="0" w:evenVBand="0" w:oddHBand="0" w:evenHBand="0" w:firstRowFirstColumn="0" w:firstRowLastColumn="0" w:lastRowFirstColumn="0" w:lastRowLastColumn="0"/>
            <w:tcW w:w="1424" w:type="dxa"/>
          </w:tcPr>
          <w:p w:rsidR="00F6191F" w:rsidRDefault="00895583">
            <w:pPr>
              <w:rPr>
                <w:rFonts w:cs="Arial"/>
                <w:b w:val="0"/>
                <w:bCs w:val="0"/>
                <w:color w:val="000000" w:themeColor="text1"/>
              </w:rPr>
            </w:pPr>
            <w:hyperlink r:id="rId15" w:tgtFrame="_blank" w:history="1">
              <w:r w:rsidR="00E5706D">
                <w:rPr>
                  <w:rStyle w:val="Hyperlink"/>
                  <w:rFonts w:cs="Arial"/>
                  <w:color w:val="000000" w:themeColor="text1"/>
                </w:rPr>
                <w:t>MOPITT</w:t>
              </w:r>
            </w:hyperlink>
          </w:p>
        </w:tc>
        <w:tc>
          <w:tcPr>
            <w:tcW w:w="2435" w:type="dxa"/>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EOS-Terra</w:t>
            </w:r>
          </w:p>
        </w:tc>
        <w:tc>
          <w:tcPr>
            <w:tcW w:w="2029" w:type="dxa"/>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NASA</w:t>
            </w:r>
          </w:p>
        </w:tc>
        <w:tc>
          <w:tcPr>
            <w:tcW w:w="1704" w:type="dxa"/>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NCAR</w:t>
            </w:r>
          </w:p>
        </w:tc>
        <w:tc>
          <w:tcPr>
            <w:tcW w:w="1661" w:type="dxa"/>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CO</w:t>
            </w:r>
          </w:p>
        </w:tc>
      </w:tr>
      <w:tr w:rsidR="00F6191F" w:rsidTr="00F6191F">
        <w:tc>
          <w:tcPr>
            <w:cnfStyle w:val="001000000000" w:firstRow="0" w:lastRow="0" w:firstColumn="1" w:lastColumn="0" w:oddVBand="0" w:evenVBand="0" w:oddHBand="0" w:evenHBand="0" w:firstRowFirstColumn="0" w:firstRowLastColumn="0" w:lastRowFirstColumn="0" w:lastRowLastColumn="0"/>
            <w:tcW w:w="1424" w:type="dxa"/>
            <w:tcBorders>
              <w:top w:val="single" w:sz="8" w:space="0" w:color="5B9BD5" w:themeColor="accent5"/>
              <w:left w:val="single" w:sz="8" w:space="0" w:color="5B9BD5" w:themeColor="accent5"/>
              <w:bottom w:val="single" w:sz="8" w:space="0" w:color="5B9BD5" w:themeColor="accent5"/>
            </w:tcBorders>
          </w:tcPr>
          <w:p w:rsidR="00F6191F" w:rsidRDefault="00895583">
            <w:pPr>
              <w:rPr>
                <w:rFonts w:cs="Arial"/>
                <w:b w:val="0"/>
                <w:bCs w:val="0"/>
                <w:color w:val="000000" w:themeColor="text1"/>
              </w:rPr>
            </w:pPr>
            <w:hyperlink r:id="rId16" w:tgtFrame="_blank" w:history="1">
              <w:r w:rsidR="00E5706D">
                <w:rPr>
                  <w:rStyle w:val="Hyperlink"/>
                  <w:rFonts w:cs="Arial"/>
                  <w:color w:val="000000" w:themeColor="text1"/>
                </w:rPr>
                <w:t>GOME-2</w:t>
              </w:r>
            </w:hyperlink>
          </w:p>
        </w:tc>
        <w:tc>
          <w:tcPr>
            <w:tcW w:w="2435" w:type="dxa"/>
            <w:tcBorders>
              <w:top w:val="single" w:sz="8" w:space="0" w:color="5B9BD5" w:themeColor="accent5"/>
              <w:bottom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METOP-A, METOP-B</w:t>
            </w:r>
          </w:p>
        </w:tc>
        <w:tc>
          <w:tcPr>
            <w:tcW w:w="2029" w:type="dxa"/>
            <w:tcBorders>
              <w:top w:val="single" w:sz="8" w:space="0" w:color="5B9BD5" w:themeColor="accent5"/>
              <w:bottom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EUMETSAT/ESA</w:t>
            </w:r>
          </w:p>
        </w:tc>
        <w:tc>
          <w:tcPr>
            <w:tcW w:w="1704" w:type="dxa"/>
            <w:tcBorders>
              <w:top w:val="single" w:sz="8" w:space="0" w:color="5B9BD5" w:themeColor="accent5"/>
              <w:bottom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AC-SAF</w:t>
            </w:r>
          </w:p>
        </w:tc>
        <w:tc>
          <w:tcPr>
            <w:tcW w:w="1661" w:type="dxa"/>
            <w:tcBorders>
              <w:top w:val="single" w:sz="8" w:space="0" w:color="5B9BD5" w:themeColor="accent5"/>
              <w:bottom w:val="single" w:sz="8" w:space="0" w:color="5B9BD5" w:themeColor="accent5"/>
              <w:right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O3, SO2</w:t>
            </w:r>
          </w:p>
        </w:tc>
      </w:tr>
      <w:tr w:rsidR="00F6191F" w:rsidTr="00F6191F">
        <w:tc>
          <w:tcPr>
            <w:cnfStyle w:val="001000000000" w:firstRow="0" w:lastRow="0" w:firstColumn="1" w:lastColumn="0" w:oddVBand="0" w:evenVBand="0" w:oddHBand="0" w:evenHBand="0" w:firstRowFirstColumn="0" w:firstRowLastColumn="0" w:lastRowFirstColumn="0" w:lastRowLastColumn="0"/>
            <w:tcW w:w="1424" w:type="dxa"/>
          </w:tcPr>
          <w:p w:rsidR="00F6191F" w:rsidRDefault="00895583">
            <w:pPr>
              <w:rPr>
                <w:rFonts w:cs="Arial"/>
                <w:b w:val="0"/>
                <w:bCs w:val="0"/>
                <w:color w:val="000000" w:themeColor="text1"/>
              </w:rPr>
            </w:pPr>
            <w:hyperlink r:id="rId17" w:history="1">
              <w:r w:rsidR="00E5706D">
                <w:rPr>
                  <w:rStyle w:val="Hyperlink"/>
                  <w:rFonts w:cs="Arial"/>
                  <w:color w:val="000000" w:themeColor="text1"/>
                </w:rPr>
                <w:t>OMPS</w:t>
              </w:r>
            </w:hyperlink>
          </w:p>
        </w:tc>
        <w:tc>
          <w:tcPr>
            <w:tcW w:w="2435" w:type="dxa"/>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Suomi-NPP</w:t>
            </w:r>
          </w:p>
        </w:tc>
        <w:tc>
          <w:tcPr>
            <w:tcW w:w="2029" w:type="dxa"/>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NOAA</w:t>
            </w:r>
          </w:p>
        </w:tc>
        <w:tc>
          <w:tcPr>
            <w:tcW w:w="1704" w:type="dxa"/>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EUMETSAT</w:t>
            </w:r>
          </w:p>
        </w:tc>
        <w:tc>
          <w:tcPr>
            <w:tcW w:w="1661" w:type="dxa"/>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O3</w:t>
            </w:r>
          </w:p>
        </w:tc>
      </w:tr>
      <w:tr w:rsidR="00F6191F" w:rsidTr="00F6191F">
        <w:tc>
          <w:tcPr>
            <w:cnfStyle w:val="001000000000" w:firstRow="0" w:lastRow="0" w:firstColumn="1" w:lastColumn="0" w:oddVBand="0" w:evenVBand="0" w:oddHBand="0" w:evenHBand="0" w:firstRowFirstColumn="0" w:firstRowLastColumn="0" w:lastRowFirstColumn="0" w:lastRowLastColumn="0"/>
            <w:tcW w:w="1424" w:type="dxa"/>
            <w:tcBorders>
              <w:top w:val="single" w:sz="8" w:space="0" w:color="5B9BD5" w:themeColor="accent5"/>
              <w:left w:val="single" w:sz="8" w:space="0" w:color="5B9BD5" w:themeColor="accent5"/>
              <w:bottom w:val="single" w:sz="8" w:space="0" w:color="5B9BD5" w:themeColor="accent5"/>
            </w:tcBorders>
          </w:tcPr>
          <w:p w:rsidR="00F6191F" w:rsidRDefault="00895583">
            <w:pPr>
              <w:rPr>
                <w:rFonts w:cs="Arial"/>
                <w:b w:val="0"/>
                <w:bCs w:val="0"/>
                <w:color w:val="000000" w:themeColor="text1"/>
              </w:rPr>
            </w:pPr>
            <w:hyperlink r:id="rId18" w:history="1">
              <w:r w:rsidR="00E5706D">
                <w:rPr>
                  <w:rStyle w:val="Hyperlink"/>
                  <w:rFonts w:cs="Arial"/>
                  <w:color w:val="000000" w:themeColor="text1"/>
                </w:rPr>
                <w:t>PMAp</w:t>
              </w:r>
            </w:hyperlink>
          </w:p>
        </w:tc>
        <w:tc>
          <w:tcPr>
            <w:tcW w:w="2435" w:type="dxa"/>
            <w:tcBorders>
              <w:top w:val="single" w:sz="8" w:space="0" w:color="5B9BD5" w:themeColor="accent5"/>
              <w:bottom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METOP-A, METOP-B</w:t>
            </w:r>
          </w:p>
        </w:tc>
        <w:tc>
          <w:tcPr>
            <w:tcW w:w="2029" w:type="dxa"/>
            <w:tcBorders>
              <w:top w:val="single" w:sz="8" w:space="0" w:color="5B9BD5" w:themeColor="accent5"/>
              <w:bottom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EUMETSAT</w:t>
            </w:r>
          </w:p>
        </w:tc>
        <w:tc>
          <w:tcPr>
            <w:tcW w:w="1704" w:type="dxa"/>
            <w:tcBorders>
              <w:top w:val="single" w:sz="8" w:space="0" w:color="5B9BD5" w:themeColor="accent5"/>
              <w:bottom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EUMETSAT</w:t>
            </w:r>
          </w:p>
        </w:tc>
        <w:tc>
          <w:tcPr>
            <w:tcW w:w="1661" w:type="dxa"/>
            <w:tcBorders>
              <w:top w:val="single" w:sz="8" w:space="0" w:color="5B9BD5" w:themeColor="accent5"/>
              <w:bottom w:val="single" w:sz="8" w:space="0" w:color="5B9BD5" w:themeColor="accent5"/>
              <w:right w:val="single" w:sz="8" w:space="0" w:color="5B9BD5" w:themeColor="accent5"/>
            </w:tcBorders>
          </w:tcPr>
          <w:p w:rsidR="00F6191F" w:rsidRDefault="00E5706D">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AOD</w:t>
            </w:r>
          </w:p>
        </w:tc>
      </w:tr>
    </w:tbl>
    <w:p w:rsidR="00F6191F" w:rsidRDefault="00F6191F">
      <w:pPr>
        <w:rPr>
          <w:rFonts w:cs="Arial"/>
        </w:rPr>
      </w:pPr>
    </w:p>
    <w:p w:rsidR="00F6191F" w:rsidRDefault="00F6191F">
      <w:pPr>
        <w:pStyle w:val="ListParagraph"/>
        <w:ind w:left="0"/>
      </w:pPr>
    </w:p>
    <w:p w:rsidR="00F6191F" w:rsidRDefault="00E5706D">
      <w:pPr>
        <w:pStyle w:val="ListParagraph"/>
        <w:ind w:left="0"/>
        <w:rPr>
          <w:b/>
          <w:i/>
        </w:rPr>
      </w:pPr>
      <w:r>
        <w:rPr>
          <w:b/>
          <w:i/>
        </w:rPr>
        <w:t>2.2. CHIMERE</w:t>
      </w:r>
    </w:p>
    <w:p w:rsidR="00F6191F" w:rsidRDefault="00F6191F">
      <w:pPr>
        <w:pStyle w:val="ListParagraph"/>
        <w:ind w:left="0"/>
      </w:pPr>
    </w:p>
    <w:p w:rsidR="00F6191F" w:rsidRDefault="00E5706D">
      <w:pPr>
        <w:jc w:val="both"/>
        <w:rPr>
          <w:color w:val="000000" w:themeColor="text1"/>
        </w:rPr>
      </w:pPr>
      <w:r>
        <w:rPr>
          <w:iCs/>
          <w:color w:val="000000" w:themeColor="text1"/>
        </w:rPr>
        <w:t>CHIMERE is a regional chemistry-transport model used for analysis, scenarios and forecast (Menut et al., 2013). When used in the forecast mode, the mod</w:t>
      </w:r>
      <w:r>
        <w:rPr>
          <w:rFonts w:hint="eastAsia"/>
          <w:iCs/>
          <w:color w:val="000000" w:themeColor="text1"/>
          <w:lang w:eastAsia="zh-CN"/>
        </w:rPr>
        <w:t>el</w:t>
      </w:r>
      <w:r>
        <w:rPr>
          <w:iCs/>
          <w:color w:val="000000" w:themeColor="text1"/>
        </w:rPr>
        <w:t xml:space="preserve"> </w:t>
      </w:r>
      <w:r>
        <w:rPr>
          <w:iCs/>
          <w:color w:val="000000" w:themeColor="text1"/>
          <w:lang w:val="en-US" w:eastAsia="zh-CN"/>
        </w:rPr>
        <w:t xml:space="preserve">provides </w:t>
      </w:r>
      <w:r>
        <w:rPr>
          <w:iCs/>
          <w:color w:val="000000" w:themeColor="text1"/>
        </w:rPr>
        <w:t xml:space="preserve">local scale information (to be compared with data from numerous air quality networks), or regional scale </w:t>
      </w:r>
      <w:r>
        <w:rPr>
          <w:iCs/>
          <w:color w:val="000000" w:themeColor="text1"/>
        </w:rPr>
        <w:lastRenderedPageBreak/>
        <w:t xml:space="preserve">information (e.g., the French PREVAIR and the Copernicus CAMS systems). CHIMERE is an open-source model, freely distributed at </w:t>
      </w:r>
      <w:hyperlink r:id="rId19" w:history="1">
        <w:r>
          <w:rPr>
            <w:rStyle w:val="Hyperlink"/>
            <w:iCs/>
            <w:color w:val="auto"/>
            <w:u w:val="none"/>
          </w:rPr>
          <w:t>www.lmd.polytechnique.fr/chimere</w:t>
        </w:r>
      </w:hyperlink>
      <w:r>
        <w:rPr>
          <w:iCs/>
        </w:rPr>
        <w:t xml:space="preserve">. </w:t>
      </w:r>
      <w:r>
        <w:rPr>
          <w:iCs/>
          <w:color w:val="000000" w:themeColor="text1"/>
        </w:rPr>
        <w:t xml:space="preserve">In this version, CHIMERE is used in off-line mode at a spatial resolution of 0.25 degrees (about 25 km). It is forced by pre-calculated hourly meteorological fields for the dynamics and by several emissions fluxes for the chemistry. The emissions are pre-calculated or on-line estimated in the model with anthropogenic emissions (MEIC 2010), biogenic emissions with the online </w:t>
      </w:r>
      <w:r>
        <w:rPr>
          <w:rFonts w:eastAsia="AdvOT863180fb" w:cs="Times New Roman"/>
          <w:color w:val="000000" w:themeColor="text1"/>
        </w:rPr>
        <w:t>model of emissions of gases and aerosols from nature</w:t>
      </w:r>
      <w:r>
        <w:rPr>
          <w:iCs/>
          <w:color w:val="000000" w:themeColor="text1"/>
        </w:rPr>
        <w:t xml:space="preserve"> </w:t>
      </w:r>
      <w:r>
        <w:rPr>
          <w:rFonts w:hint="eastAsia"/>
          <w:iCs/>
          <w:color w:val="000000" w:themeColor="text1"/>
          <w:lang w:eastAsia="zh-CN"/>
        </w:rPr>
        <w:t>(</w:t>
      </w:r>
      <w:r>
        <w:rPr>
          <w:iCs/>
          <w:color w:val="000000" w:themeColor="text1"/>
        </w:rPr>
        <w:t>MEGAN</w:t>
      </w:r>
      <w:r>
        <w:rPr>
          <w:rFonts w:hint="eastAsia"/>
          <w:iCs/>
          <w:color w:val="000000" w:themeColor="text1"/>
          <w:lang w:eastAsia="zh-CN"/>
        </w:rPr>
        <w:t xml:space="preserve">, </w:t>
      </w:r>
      <w:r>
        <w:rPr>
          <w:iCs/>
          <w:color w:val="000000" w:themeColor="text1"/>
        </w:rPr>
        <w:t>Guenther et al., 2006), mineral dust (Menut et al., 2013) and biomass burning emissions (Turquety et al., 2014). The gas phase chemistry is calculated using the MELCHIOR2 mechanism and the aerosols are represented using a distribution of 10 bins, from 40nm to 40μm to well describe both number and mass. The chemical boundary conditions are provided by the LMDz-INCA model for gas and particles (Szopa et al., 2009), except for mineral dust extracted from global GOCART simulations (Ginoux et al., 2001).</w:t>
      </w:r>
      <w:r>
        <w:rPr>
          <w:color w:val="000000" w:themeColor="text1"/>
        </w:rPr>
        <w:t xml:space="preserve"> Further information about the implementation of the model for air quality forecasts in China can be obtained from Ronald van der A (</w:t>
      </w:r>
      <w:hyperlink r:id="rId20" w:history="1">
        <w:r>
          <w:rPr>
            <w:rStyle w:val="Hyperlink"/>
          </w:rPr>
          <w:t>avander@knmi.nl</w:t>
        </w:r>
      </w:hyperlink>
      <w:r>
        <w:rPr>
          <w:color w:val="000000" w:themeColor="text1"/>
        </w:rPr>
        <w:t xml:space="preserve">) at KNMI and on the web site </w:t>
      </w:r>
      <w:hyperlink r:id="rId21" w:history="1">
        <w:r>
          <w:rPr>
            <w:rStyle w:val="Hyperlink"/>
          </w:rPr>
          <w:t>http://www.lmd.polytechnique.fr/chimere/CW-download.ph</w:t>
        </w:r>
      </w:hyperlink>
      <w:r>
        <w:rPr>
          <w:color w:val="000000" w:themeColor="text1"/>
        </w:rPr>
        <w:t>. .</w:t>
      </w:r>
    </w:p>
    <w:p w:rsidR="00F6191F" w:rsidRDefault="00F6191F">
      <w:pPr>
        <w:pStyle w:val="ListParagraph"/>
        <w:ind w:left="0"/>
        <w:rPr>
          <w:b/>
          <w:i/>
        </w:rPr>
      </w:pPr>
    </w:p>
    <w:p w:rsidR="00F6191F" w:rsidRDefault="00E5706D">
      <w:pPr>
        <w:pStyle w:val="ListParagraph"/>
        <w:ind w:left="0"/>
        <w:rPr>
          <w:b/>
          <w:i/>
        </w:rPr>
      </w:pPr>
      <w:r>
        <w:rPr>
          <w:b/>
          <w:i/>
        </w:rPr>
        <w:t>2.3. WRF-Chem-MPIM</w:t>
      </w:r>
    </w:p>
    <w:p w:rsidR="00F6191F" w:rsidRDefault="00F6191F">
      <w:pPr>
        <w:pStyle w:val="ListParagraph"/>
        <w:ind w:left="0"/>
      </w:pPr>
    </w:p>
    <w:p w:rsidR="00F6191F" w:rsidRDefault="00E5706D">
      <w:pPr>
        <w:jc w:val="both"/>
        <w:rPr>
          <w:rStyle w:val="apple-converted-space"/>
          <w:rFonts w:cs="Times New Roman"/>
          <w:color w:val="000000"/>
        </w:rPr>
      </w:pPr>
      <w:bookmarkStart w:id="1" w:name="__DdeLink__1965_1845436590"/>
      <w:r>
        <w:rPr>
          <w:rFonts w:cs="Times New Roman"/>
          <w:color w:val="000000"/>
        </w:rPr>
        <w:t>The Weather Research and Forecasting model coupled to chemistry (WRF-Chem) is</w:t>
      </w:r>
      <w:r>
        <w:rPr>
          <w:rStyle w:val="apple-converted-space"/>
          <w:rFonts w:cs="Times New Roman"/>
          <w:color w:val="000000"/>
        </w:rPr>
        <w:t> </w:t>
      </w:r>
      <w:r>
        <w:rPr>
          <w:rFonts w:cs="Times New Roman"/>
          <w:color w:val="000000"/>
        </w:rPr>
        <w:t>a mesoscale non-hydrostatic meteorological model</w:t>
      </w:r>
      <w:r>
        <w:rPr>
          <w:rStyle w:val="apple-converted-space"/>
          <w:rFonts w:cs="Times New Roman"/>
          <w:color w:val="000000"/>
        </w:rPr>
        <w:t> </w:t>
      </w:r>
      <w:r>
        <w:rPr>
          <w:rFonts w:cs="Times New Roman"/>
          <w:color w:val="000000"/>
        </w:rPr>
        <w:t>(Skamarock et al., 2008)</w:t>
      </w:r>
      <w:r>
        <w:rPr>
          <w:rStyle w:val="apple-converted-space"/>
          <w:rFonts w:cs="Times New Roman"/>
          <w:color w:val="000000"/>
        </w:rPr>
        <w:t> </w:t>
      </w:r>
      <w:r>
        <w:rPr>
          <w:rFonts w:cs="Times New Roman"/>
          <w:color w:val="000000"/>
        </w:rPr>
        <w:t>coupled “online” with chemistry that simultaneously predicts meteorological and chemical components of the atmosphere (Grell et al., 2005; Fast et al., 2006).</w:t>
      </w:r>
      <w:r>
        <w:rPr>
          <w:rStyle w:val="apple-converted-space"/>
          <w:rFonts w:cs="Times New Roman"/>
          <w:color w:val="000000"/>
        </w:rPr>
        <w:t> </w:t>
      </w:r>
    </w:p>
    <w:p w:rsidR="00F6191F" w:rsidRDefault="00F6191F">
      <w:pPr>
        <w:jc w:val="both"/>
        <w:rPr>
          <w:rFonts w:cs="Tahoma"/>
          <w:color w:val="000000"/>
        </w:rPr>
      </w:pPr>
    </w:p>
    <w:p w:rsidR="00F6191F" w:rsidRDefault="00E5706D">
      <w:pPr>
        <w:jc w:val="both"/>
        <w:rPr>
          <w:rFonts w:cs="Times New Roman"/>
          <w:color w:val="000000"/>
        </w:rPr>
      </w:pPr>
      <w:r>
        <w:rPr>
          <w:rFonts w:cs="Times New Roman"/>
          <w:color w:val="000000"/>
        </w:rPr>
        <w:t>The model version used at the Max Planck Institute for Meteorology (MPIM), WRF-Chem-MPIM, is based on version 3.6.1 of the WRF-Chem model coupled to the gas phase chemistry and the aerosol microphysics schemes provided by the Model for Ozone and Related Chemical Tracers (MOZART-4, Emmons et al., 2010) and the Model for Simulating Aerosol Interactions and Chemistry (MOSAIC, Zaveri et al., 2008), respectively. Aerosols sizes are represented by four consecutive bins, and the formation of secondary organic aerosol (SOA) from anthropogenic precursors is parameterized according to Hodzic and Jimenez (2011).</w:t>
      </w:r>
    </w:p>
    <w:p w:rsidR="00F6191F" w:rsidRDefault="00F6191F">
      <w:pPr>
        <w:jc w:val="both"/>
        <w:rPr>
          <w:rFonts w:cs="Tahoma"/>
          <w:color w:val="000000"/>
        </w:rPr>
      </w:pPr>
    </w:p>
    <w:p w:rsidR="00F6191F" w:rsidRDefault="00E5706D">
      <w:pPr>
        <w:jc w:val="both"/>
        <w:rPr>
          <w:rStyle w:val="apple-converted-space"/>
          <w:rFonts w:cs="Times New Roman"/>
        </w:rPr>
      </w:pPr>
      <w:r>
        <w:rPr>
          <w:rFonts w:cs="Times New Roman"/>
          <w:color w:val="000000"/>
        </w:rPr>
        <w:t>Two nested model domains with horizontal resolutions of 60 km (Asian continent from India to Japan) and 20 km (eastern China), respectively are implemented.</w:t>
      </w:r>
      <w:r>
        <w:rPr>
          <w:rStyle w:val="apple-converted-space"/>
          <w:rFonts w:cs="Times New Roman"/>
          <w:color w:val="000000"/>
        </w:rPr>
        <w:t> </w:t>
      </w:r>
      <w:r>
        <w:rPr>
          <w:rFonts w:cs="Times New Roman"/>
          <w:color w:val="000000"/>
        </w:rPr>
        <w:t>The vertical grid is composed of 51 levels extending from the surface to 10 hPa (~30 km).</w:t>
      </w:r>
      <w:r>
        <w:rPr>
          <w:rStyle w:val="apple-converted-space"/>
          <w:rFonts w:cs="Times New Roman"/>
          <w:color w:val="000000"/>
        </w:rPr>
        <w:t> </w:t>
      </w:r>
      <w:r>
        <w:rPr>
          <w:rFonts w:cs="Times New Roman"/>
          <w:color w:val="FF0000"/>
        </w:rPr>
        <w:t xml:space="preserve"> </w:t>
      </w:r>
      <w:r>
        <w:rPr>
          <w:rFonts w:cs="Times New Roman"/>
          <w:color w:val="000000"/>
        </w:rPr>
        <w:t>A more complete description</w:t>
      </w:r>
      <w:r>
        <w:rPr>
          <w:rStyle w:val="apple-converted-space"/>
          <w:rFonts w:cs="Times New Roman"/>
          <w:color w:val="000000"/>
        </w:rPr>
        <w:t> </w:t>
      </w:r>
      <w:r>
        <w:rPr>
          <w:rFonts w:cs="Times New Roman"/>
          <w:color w:val="000000"/>
        </w:rPr>
        <w:t>of the selected physical and chemical options is provided in the WRF and</w:t>
      </w:r>
      <w:r>
        <w:rPr>
          <w:rStyle w:val="apple-converted-space"/>
          <w:rFonts w:cs="Times New Roman"/>
          <w:color w:val="000000"/>
        </w:rPr>
        <w:t xml:space="preserve"> in the </w:t>
      </w:r>
      <w:r>
        <w:rPr>
          <w:rFonts w:cs="Times New Roman"/>
        </w:rPr>
        <w:t>WRF-Chem</w:t>
      </w:r>
      <w:r>
        <w:rPr>
          <w:rStyle w:val="apple-converted-space"/>
          <w:rFonts w:cs="Times New Roman"/>
        </w:rPr>
        <w:t xml:space="preserve"> </w:t>
      </w:r>
      <w:r>
        <w:rPr>
          <w:rFonts w:cs="Times New Roman"/>
        </w:rPr>
        <w:t>user’s guides under</w:t>
      </w:r>
      <w:r>
        <w:rPr>
          <w:rStyle w:val="apple-converted-space"/>
          <w:rFonts w:cs="Times New Roman"/>
        </w:rPr>
        <w:t> </w:t>
      </w:r>
    </w:p>
    <w:p w:rsidR="00F6191F" w:rsidRDefault="00895583">
      <w:pPr>
        <w:jc w:val="both"/>
        <w:rPr>
          <w:rFonts w:cs="Times New Roman"/>
        </w:rPr>
      </w:pPr>
      <w:hyperlink r:id="rId22" w:history="1">
        <w:r w:rsidR="00E5706D">
          <w:rPr>
            <w:rStyle w:val="Hyperlink"/>
            <w:rFonts w:cs="Times New Roman"/>
            <w:color w:val="auto"/>
            <w:u w:val="none"/>
          </w:rPr>
          <w:t>http://www2.mmm.ucar.edu/wrf/users/docs/user_guide_V3.6/ARWUsersGuideV3.6.1.pdf</w:t>
        </w:r>
      </w:hyperlink>
      <w:r w:rsidR="00E5706D">
        <w:rPr>
          <w:rStyle w:val="apple-converted-space"/>
          <w:rFonts w:cs="Times New Roman"/>
        </w:rPr>
        <w:t xml:space="preserve"> </w:t>
      </w:r>
      <w:r w:rsidR="00E5706D">
        <w:rPr>
          <w:rFonts w:cs="Times New Roman"/>
        </w:rPr>
        <w:t>and</w:t>
      </w:r>
      <w:r w:rsidR="00E5706D">
        <w:rPr>
          <w:rStyle w:val="apple-converted-space"/>
          <w:rFonts w:cs="Times New Roman"/>
        </w:rPr>
        <w:t> </w:t>
      </w:r>
      <w:hyperlink r:id="rId23" w:history="1">
        <w:r w:rsidR="00E5706D">
          <w:rPr>
            <w:rStyle w:val="Hyperlink"/>
            <w:rFonts w:cs="Times New Roman"/>
            <w:color w:val="auto"/>
            <w:u w:val="none"/>
          </w:rPr>
          <w:t>https://ruc.noaa.gov/wrf/wrf-chem/Users_guide.pdf</w:t>
        </w:r>
      </w:hyperlink>
      <w:r w:rsidR="00E5706D">
        <w:rPr>
          <w:rFonts w:cs="Times New Roman"/>
        </w:rPr>
        <w:t>.</w:t>
      </w:r>
    </w:p>
    <w:p w:rsidR="00F6191F" w:rsidRDefault="00F6191F">
      <w:pPr>
        <w:jc w:val="both"/>
        <w:rPr>
          <w:rFonts w:cs="Tahoma"/>
          <w:color w:val="000000"/>
        </w:rPr>
      </w:pPr>
    </w:p>
    <w:p w:rsidR="00F6191F" w:rsidRDefault="00E5706D">
      <w:pPr>
        <w:jc w:val="both"/>
        <w:rPr>
          <w:rFonts w:cs="Times New Roman"/>
          <w:color w:val="000000"/>
        </w:rPr>
      </w:pPr>
      <w:r>
        <w:rPr>
          <w:rFonts w:cs="Times New Roman"/>
          <w:color w:val="000000"/>
        </w:rPr>
        <w:t>The WRF-Chem-MPIM model forecasts are initialized and forced at the lateral boundaries every day by 6 hourly meteorological analysis data from the NCEP Global Forecast System (GFS) at 0.5 degree resolution.</w:t>
      </w:r>
      <w:r>
        <w:rPr>
          <w:rStyle w:val="apple-converted-space"/>
          <w:rFonts w:cs="Times New Roman"/>
          <w:color w:val="000000"/>
        </w:rPr>
        <w:t> </w:t>
      </w:r>
      <w:r>
        <w:rPr>
          <w:rFonts w:cs="Times New Roman"/>
          <w:color w:val="000000"/>
        </w:rPr>
        <w:t>For the chemical and aerosol species,</w:t>
      </w:r>
      <w:r>
        <w:rPr>
          <w:rStyle w:val="apple-converted-space"/>
          <w:rFonts w:cs="Times New Roman"/>
          <w:color w:val="000000"/>
        </w:rPr>
        <w:t> </w:t>
      </w:r>
      <w:r>
        <w:rPr>
          <w:rFonts w:cs="Times New Roman"/>
          <w:color w:val="000000"/>
        </w:rPr>
        <w:t>6 hourly datasets are provided by</w:t>
      </w:r>
      <w:r>
        <w:rPr>
          <w:rStyle w:val="apple-converted-space"/>
          <w:rFonts w:cs="Times New Roman"/>
          <w:color w:val="000000"/>
        </w:rPr>
        <w:t> </w:t>
      </w:r>
      <w:r>
        <w:rPr>
          <w:rFonts w:cs="Times New Roman"/>
          <w:color w:val="000000"/>
        </w:rPr>
        <w:t>the global operational forecasting system implemented</w:t>
      </w:r>
      <w:r>
        <w:rPr>
          <w:rStyle w:val="apple-converted-space"/>
          <w:rFonts w:cs="Times New Roman"/>
          <w:color w:val="000000"/>
        </w:rPr>
        <w:t> </w:t>
      </w:r>
      <w:r>
        <w:rPr>
          <w:rFonts w:cs="Times New Roman"/>
          <w:color w:val="000000"/>
        </w:rPr>
        <w:t>within the Copernicus Atmospheric Monitoring Service project (Flemming et al., 2015).</w:t>
      </w:r>
      <w:r>
        <w:rPr>
          <w:rStyle w:val="apple-converted-space"/>
          <w:rFonts w:cs="Times New Roman"/>
          <w:color w:val="000000"/>
        </w:rPr>
        <w:t> </w:t>
      </w:r>
      <w:r>
        <w:rPr>
          <w:rFonts w:cs="Times New Roman"/>
          <w:color w:val="000000"/>
        </w:rPr>
        <w:t> </w:t>
      </w:r>
      <w:r>
        <w:rPr>
          <w:rFonts w:ascii="Calibri" w:eastAsia="Times New Roman" w:hAnsi="Calibri" w:cs="Calibri"/>
          <w:lang w:val="en-US"/>
        </w:rPr>
        <w:t>More information on the model’s configuration can be obtained from Idir Bouarar (</w:t>
      </w:r>
      <w:hyperlink r:id="rId24" w:history="1">
        <w:r>
          <w:rPr>
            <w:rStyle w:val="Hyperlink"/>
            <w:rFonts w:ascii="Calibri" w:eastAsia="Times New Roman" w:hAnsi="Calibri" w:cs="Calibri"/>
            <w:lang w:val="en-US"/>
          </w:rPr>
          <w:t>idir.bouarar@mpimet.mpg.de</w:t>
        </w:r>
      </w:hyperlink>
      <w:r>
        <w:rPr>
          <w:rFonts w:ascii="Calibri" w:eastAsia="Times New Roman" w:hAnsi="Calibri" w:cs="Calibri"/>
          <w:lang w:val="en-US"/>
        </w:rPr>
        <w:t xml:space="preserve">) at the Max Planck Institute for Meteorology and on the web site </w:t>
      </w:r>
      <w:r>
        <w:rPr>
          <w:rFonts w:ascii="Calibri" w:eastAsia="Times New Roman" w:hAnsi="Calibri" w:cs="Calibri"/>
          <w:color w:val="356DFF"/>
          <w:lang w:val="en-US"/>
        </w:rPr>
        <w:t>http://www2.mmm.ucar.edu/wrf/users/downloads.html</w:t>
      </w:r>
      <w:r>
        <w:rPr>
          <w:rFonts w:ascii="Calibri" w:eastAsia="Times New Roman" w:hAnsi="Calibri" w:cs="Calibri"/>
          <w:lang w:val="en-US"/>
        </w:rPr>
        <w:t>.</w:t>
      </w:r>
    </w:p>
    <w:bookmarkEnd w:id="1"/>
    <w:p w:rsidR="00F6191F" w:rsidRDefault="00F6191F">
      <w:pPr>
        <w:rPr>
          <w:b/>
          <w:i/>
        </w:rPr>
      </w:pPr>
    </w:p>
    <w:p w:rsidR="00F6191F" w:rsidRDefault="00E5706D">
      <w:pPr>
        <w:pStyle w:val="ListParagraph"/>
        <w:ind w:left="0"/>
        <w:jc w:val="both"/>
        <w:rPr>
          <w:b/>
          <w:i/>
        </w:rPr>
      </w:pPr>
      <w:r>
        <w:rPr>
          <w:b/>
          <w:i/>
        </w:rPr>
        <w:t>2.4. SILAM</w:t>
      </w:r>
    </w:p>
    <w:p w:rsidR="00F6191F" w:rsidRDefault="00F6191F">
      <w:pPr>
        <w:pStyle w:val="ListParagraph"/>
        <w:ind w:left="0"/>
        <w:jc w:val="both"/>
      </w:pPr>
    </w:p>
    <w:p w:rsidR="00F6191F" w:rsidRDefault="00E5706D">
      <w:pPr>
        <w:jc w:val="both"/>
        <w:rPr>
          <w:color w:val="000000" w:themeColor="text1"/>
        </w:rPr>
      </w:pPr>
      <w:r>
        <w:rPr>
          <w:color w:val="000000" w:themeColor="text1"/>
        </w:rPr>
        <w:t xml:space="preserve">FMI uses the System for Integrated Modeling of Atmospheric Composition (SILAM) version 5.5 (Sofiev et al., 2015). </w:t>
      </w:r>
      <w:r>
        <w:rPr>
          <w:rFonts w:eastAsia="Times New Roman"/>
          <w:color w:val="000000" w:themeColor="text1"/>
          <w:lang w:eastAsia="de-DE"/>
        </w:rPr>
        <w:t xml:space="preserve">SILAM includes a meteorological pre-processor for diagnosing the basic features of the boundary layer and the free troposphere from the meteorological fields provided by various meteorological models (Sofiev et al., 2010). The dry deposition scheme for particles is described in Kouznetsov and Sofiev (2012). The </w:t>
      </w:r>
      <w:r>
        <w:rPr>
          <w:color w:val="000000" w:themeColor="text1"/>
        </w:rPr>
        <w:t>surface resistance model for gases is based on a modified Wesely scheme (Wesely, 1989).</w:t>
      </w:r>
    </w:p>
    <w:p w:rsidR="00F6191F" w:rsidRDefault="00F6191F">
      <w:pPr>
        <w:jc w:val="both"/>
        <w:rPr>
          <w:color w:val="000000" w:themeColor="text1"/>
        </w:rPr>
      </w:pPr>
    </w:p>
    <w:p w:rsidR="00F6191F" w:rsidRDefault="00E5706D">
      <w:pPr>
        <w:autoSpaceDE w:val="0"/>
        <w:autoSpaceDN w:val="0"/>
        <w:adjustRightInd w:val="0"/>
        <w:jc w:val="both"/>
        <w:rPr>
          <w:color w:val="000000" w:themeColor="text1"/>
        </w:rPr>
      </w:pPr>
      <w:r>
        <w:rPr>
          <w:color w:val="000000" w:themeColor="text1"/>
        </w:rPr>
        <w:t>The gas phase chemistry was simulated with CBM-IV, with reaction rates updated according to the recommendations of IUPAC (</w:t>
      </w:r>
      <w:hyperlink r:id="rId25" w:history="1">
        <w:r>
          <w:rPr>
            <w:rStyle w:val="Hyperlink"/>
            <w:color w:val="000000" w:themeColor="text1"/>
            <w:u w:val="none"/>
          </w:rPr>
          <w:t>http://iupac.pole-ether.fr</w:t>
        </w:r>
      </w:hyperlink>
      <w:r>
        <w:rPr>
          <w:color w:val="000000" w:themeColor="text1"/>
        </w:rPr>
        <w:t>) and JPL (</w:t>
      </w:r>
      <w:hyperlink r:id="rId26" w:history="1">
        <w:r>
          <w:rPr>
            <w:rStyle w:val="Hyperlink"/>
            <w:color w:val="000000" w:themeColor="text1"/>
            <w:u w:val="none"/>
          </w:rPr>
          <w:t>http://jpldataeval.jpl.nasa.gov</w:t>
        </w:r>
      </w:hyperlink>
      <w:r>
        <w:rPr>
          <w:color w:val="000000" w:themeColor="text1"/>
        </w:rPr>
        <w:t xml:space="preserve">) and </w:t>
      </w:r>
      <w:r>
        <w:rPr>
          <w:rFonts w:eastAsia="Times New Roman"/>
          <w:color w:val="000000" w:themeColor="text1"/>
          <w:lang w:eastAsia="de-DE"/>
        </w:rPr>
        <w:t>the terpenes oxidation added from CB05 reaction list (Yarwood et al., 2005)</w:t>
      </w:r>
      <w:r>
        <w:rPr>
          <w:color w:val="000000" w:themeColor="text1"/>
        </w:rPr>
        <w:t>. The sulphur chemistry and secondary inorganic aerosol formation is computed with an updated version of the DMAT scheme (Sofiev, 2000) and secondary organic aerosol formation with the Volatility Basis Set (VBS, Donahue et al., 2006), the volatility distribution of anthropogenic OC taken from Shrivastava et al. (2011).</w:t>
      </w:r>
    </w:p>
    <w:p w:rsidR="00F6191F" w:rsidRDefault="00F6191F">
      <w:pPr>
        <w:jc w:val="both"/>
        <w:rPr>
          <w:color w:val="000000" w:themeColor="text1"/>
        </w:rPr>
      </w:pPr>
    </w:p>
    <w:p w:rsidR="00F6191F" w:rsidRDefault="00E5706D">
      <w:pPr>
        <w:jc w:val="both"/>
        <w:rPr>
          <w:color w:val="000000" w:themeColor="text1"/>
        </w:rPr>
      </w:pPr>
      <w:r>
        <w:rPr>
          <w:color w:val="000000" w:themeColor="text1"/>
        </w:rPr>
        <w:t>The MACCITY land-based emissions are used together with the Ship Traffic Emission Assessment Model (STEAM). The simulations include sea-salt emissions as in Sofiev et al. (2011), biogenic VOC (volatile organic compounds) emissions as in Poupkou et al. (2010) and wild-land fire emissions as in Soares et al. (2015) and desert dust.</w:t>
      </w:r>
    </w:p>
    <w:p w:rsidR="00F6191F" w:rsidRDefault="00F6191F">
      <w:pPr>
        <w:jc w:val="both"/>
        <w:rPr>
          <w:color w:val="000000" w:themeColor="text1"/>
        </w:rPr>
      </w:pPr>
    </w:p>
    <w:p w:rsidR="00F6191F" w:rsidRDefault="00E5706D">
      <w:pPr>
        <w:jc w:val="both"/>
        <w:rPr>
          <w:color w:val="000000" w:themeColor="text1"/>
        </w:rPr>
      </w:pPr>
      <w:r>
        <w:rPr>
          <w:color w:val="000000" w:themeColor="text1"/>
        </w:rPr>
        <w:t xml:space="preserve">The grid cell size was roughly 15km </w:t>
      </w:r>
      <w:r>
        <w:rPr>
          <w:color w:val="000000" w:themeColor="text1"/>
        </w:rPr>
        <w:sym w:font="Symbol" w:char="F0B4"/>
      </w:r>
      <w:r>
        <w:rPr>
          <w:color w:val="000000" w:themeColor="text1"/>
        </w:rPr>
        <w:t xml:space="preserve"> 10km (0.125</w:t>
      </w:r>
      <w:r>
        <w:rPr>
          <w:color w:val="000000" w:themeColor="text1"/>
        </w:rPr>
        <w:sym w:font="Symbol" w:char="F0B0"/>
      </w:r>
      <w:r>
        <w:rPr>
          <w:color w:val="000000" w:themeColor="text1"/>
        </w:rPr>
        <w:t xml:space="preserve"> </w:t>
      </w:r>
      <w:r>
        <w:rPr>
          <w:color w:val="000000" w:themeColor="text1"/>
        </w:rPr>
        <w:sym w:font="Symbol" w:char="F0B4"/>
      </w:r>
      <w:r>
        <w:rPr>
          <w:color w:val="000000" w:themeColor="text1"/>
        </w:rPr>
        <w:t xml:space="preserve"> 0.125</w:t>
      </w:r>
      <w:r>
        <w:rPr>
          <w:color w:val="000000" w:themeColor="text1"/>
        </w:rPr>
        <w:sym w:font="Symbol" w:char="F0B0"/>
      </w:r>
      <w:r>
        <w:rPr>
          <w:color w:val="000000" w:themeColor="text1"/>
        </w:rPr>
        <w:t xml:space="preserve">) covering the whole China, India, Japan and several countries of South-East Asia (67E, 7N) – (147E, 54N). The Asian forecasts are nested into the SILAM global AQ </w:t>
      </w:r>
      <w:r>
        <w:t>forecasts (</w:t>
      </w:r>
      <w:hyperlink r:id="rId27" w:history="1">
        <w:r>
          <w:rPr>
            <w:rStyle w:val="Hyperlink"/>
            <w:color w:val="auto"/>
          </w:rPr>
          <w:t>http://silam.fmi.fi</w:t>
        </w:r>
      </w:hyperlink>
      <w:r>
        <w:t>), from</w:t>
      </w:r>
      <w:r>
        <w:rPr>
          <w:color w:val="000000" w:themeColor="text1"/>
        </w:rPr>
        <w:t xml:space="preserve"> where they take lateral and top boundary conditions. The initial conditions for each run are taken from the previous-day forecast or, in case of failure, from global computations. </w:t>
      </w:r>
      <w:r>
        <w:rPr>
          <w:rFonts w:ascii="Calibri" w:eastAsia="Times New Roman" w:hAnsi="Calibri" w:cs="Calibri"/>
          <w:lang w:val="en-US"/>
        </w:rPr>
        <w:t>Detailed information about the SILAM modelling system can be obtained from Mikhail Sofiev (</w:t>
      </w:r>
      <w:hyperlink r:id="rId28" w:history="1">
        <w:r>
          <w:rPr>
            <w:rStyle w:val="Hyperlink"/>
            <w:rFonts w:ascii="Calibri" w:eastAsia="Times New Roman" w:hAnsi="Calibri" w:cs="Calibri"/>
            <w:lang w:val="en-US"/>
          </w:rPr>
          <w:t>Mikhail.Sofiev@fmi.fi</w:t>
        </w:r>
      </w:hyperlink>
      <w:r>
        <w:rPr>
          <w:rFonts w:ascii="Calibri" w:eastAsia="Times New Roman" w:hAnsi="Calibri" w:cs="Calibri"/>
          <w:lang w:val="en-US"/>
        </w:rPr>
        <w:t xml:space="preserve">)  and from </w:t>
      </w:r>
      <w:r>
        <w:rPr>
          <w:rFonts w:ascii="Calibri" w:eastAsia="Times New Roman" w:hAnsi="Calibri" w:cs="Calibri"/>
          <w:color w:val="163568"/>
          <w:lang w:val="en-US"/>
        </w:rPr>
        <w:t>Rostislav Kouznetsov (</w:t>
      </w:r>
      <w:r>
        <w:rPr>
          <w:rFonts w:ascii="Calibri" w:eastAsia="Times New Roman" w:hAnsi="Calibri" w:cs="Calibri"/>
          <w:color w:val="0000FF"/>
          <w:lang w:val="en-US"/>
        </w:rPr>
        <w:t>rostislav.kouznetsov@fmi.fi</w:t>
      </w:r>
      <w:r>
        <w:rPr>
          <w:rFonts w:ascii="Calibri" w:eastAsia="Times New Roman" w:hAnsi="Calibri" w:cs="Calibri"/>
          <w:color w:val="163568"/>
          <w:lang w:val="en-US"/>
        </w:rPr>
        <w:t>) and on the web site of the Finnish Meteorological Institute (</w:t>
      </w:r>
      <w:r>
        <w:rPr>
          <w:rFonts w:ascii="Calibri" w:eastAsia="Times New Roman" w:hAnsi="Calibri" w:cs="Calibri"/>
          <w:color w:val="356DFF"/>
          <w:lang w:val="en-US"/>
        </w:rPr>
        <w:t>http://silam.fmi.fi/)</w:t>
      </w:r>
      <w:r>
        <w:rPr>
          <w:rFonts w:ascii="Calibri" w:eastAsia="Times New Roman" w:hAnsi="Calibri" w:cs="Calibri"/>
          <w:color w:val="163568"/>
          <w:lang w:val="en-US"/>
        </w:rPr>
        <w:t>.</w:t>
      </w:r>
    </w:p>
    <w:p w:rsidR="00F6191F" w:rsidRDefault="00F6191F">
      <w:pPr>
        <w:pStyle w:val="ListParagraph"/>
        <w:ind w:left="0"/>
        <w:jc w:val="both"/>
      </w:pPr>
    </w:p>
    <w:p w:rsidR="00F6191F" w:rsidRDefault="00E5706D">
      <w:pPr>
        <w:pStyle w:val="ListParagraph"/>
        <w:ind w:left="0"/>
        <w:jc w:val="both"/>
        <w:rPr>
          <w:b/>
          <w:i/>
        </w:rPr>
      </w:pPr>
      <w:r>
        <w:rPr>
          <w:b/>
          <w:i/>
        </w:rPr>
        <w:t>2.5. EMEP</w:t>
      </w:r>
    </w:p>
    <w:p w:rsidR="00F6191F" w:rsidRDefault="00F6191F">
      <w:pPr>
        <w:pStyle w:val="ListParagraph"/>
        <w:ind w:left="0"/>
        <w:jc w:val="both"/>
      </w:pPr>
    </w:p>
    <w:p w:rsidR="00F6191F" w:rsidRDefault="00E5706D">
      <w:pPr>
        <w:jc w:val="both"/>
        <w:rPr>
          <w:rFonts w:cs="Times New Roman"/>
        </w:rPr>
      </w:pPr>
      <w:r>
        <w:rPr>
          <w:rFonts w:cs="Times New Roman"/>
        </w:rPr>
        <w:t xml:space="preserve">The EMEP/MSC-W model (European Monitoring and Evaluation Programme/Meteorological Synthesizing Centre-West Model hosted at the Norwegian Meteorological Institute, hereafter referred to as ‘EMEP model’) is a 3-D Eulerian Chemical Transport Model described in detail in Simpson et al. (2012). Although the model has traditionally been aimed at European simulations, global modelling has been possible for many years (Jonson et al., 2010; Wild et al., 2012). The EMEP configuration for the present study covers the East-Asian domain [15°N-55°N] x [90°E-135°E] with a horizontal resolution of 0.1° x 0.1° (longitude-latitude). The model uses 20 vertical levels defined as sigma coordinates. The 10 lowest levels are within the PBL, and the top of the model domain is at 100 hPa. </w:t>
      </w:r>
    </w:p>
    <w:p w:rsidR="00F6191F" w:rsidRDefault="00F6191F">
      <w:pPr>
        <w:jc w:val="both"/>
        <w:rPr>
          <w:rFonts w:cs="Times New Roman"/>
        </w:rPr>
      </w:pPr>
    </w:p>
    <w:p w:rsidR="00F6191F" w:rsidRDefault="00E5706D">
      <w:pPr>
        <w:jc w:val="both"/>
        <w:rPr>
          <w:rFonts w:cs="Times New Roman"/>
        </w:rPr>
      </w:pPr>
      <w:r>
        <w:rPr>
          <w:rFonts w:cs="Times New Roman"/>
        </w:rPr>
        <w:t xml:space="preserve">Particulate (PM) emissions are split into elementary carbon (EC), organic matter (OM) (here assumed inert) and the remainder, for both fine and coarse PM. The OM emissions are further divided into fossil fuel and wood-burning compounds for each source sector. As in Bergström </w:t>
      </w:r>
      <w:r>
        <w:rPr>
          <w:rFonts w:cs="Times New Roman"/>
        </w:rPr>
        <w:lastRenderedPageBreak/>
        <w:t>et al. (2012), the Organic Matter/Organic Carbon ratio of emissions by mass is assumed to be 1.3 for fossil-fuel sources and 1.7 for wood-burning sources. The model also calculates windblown dust emissions from soil erosion. Secondary PM2.5 aerosol consists of inorganic sulphate, nitrate and ammonium, and SOA; the latter is generated from both anthropogenic and biogenic emissions (anthropogenic SOA and biogenic SOA respectively), using the ‘VBS’ scheme detailed in Bergström et al (2012) and Simpson et al (2012).</w:t>
      </w:r>
    </w:p>
    <w:p w:rsidR="00F6191F" w:rsidRDefault="00F6191F">
      <w:pPr>
        <w:jc w:val="both"/>
        <w:rPr>
          <w:rFonts w:cs="Times New Roman"/>
        </w:rPr>
      </w:pPr>
    </w:p>
    <w:p w:rsidR="00F6191F" w:rsidRDefault="00E5706D">
      <w:pPr>
        <w:jc w:val="both"/>
        <w:rPr>
          <w:rFonts w:cs="Times New Roman"/>
          <w:lang w:eastAsia="zh-CN"/>
        </w:rPr>
      </w:pPr>
      <w:r>
        <w:rPr>
          <w:rFonts w:cs="Times New Roman"/>
        </w:rPr>
        <w:t>Model updates since Simpson et al. (2012), resulting in EMEP model version rv4.9 as used here, have been described in Simpson et al. (2016) and references cited therein. The main changes concern a new calculation of aerosol surface area, revised parameterizations of N</w:t>
      </w:r>
      <w:r>
        <w:rPr>
          <w:rFonts w:cs="Times New Roman"/>
          <w:vertAlign w:val="subscript"/>
        </w:rPr>
        <w:t>2</w:t>
      </w:r>
      <w:r>
        <w:rPr>
          <w:rFonts w:cs="Times New Roman"/>
        </w:rPr>
        <w:t>O</w:t>
      </w:r>
      <w:r>
        <w:rPr>
          <w:rFonts w:cs="Times New Roman"/>
          <w:vertAlign w:val="subscript"/>
        </w:rPr>
        <w:t>5</w:t>
      </w:r>
      <w:r>
        <w:rPr>
          <w:rFonts w:cs="Times New Roman"/>
        </w:rPr>
        <w:t xml:space="preserve"> hydrolysis on aerosols, additional gas-aerosol loss processes for O</w:t>
      </w:r>
      <w:r>
        <w:rPr>
          <w:rFonts w:cs="Times New Roman"/>
          <w:vertAlign w:val="subscript"/>
        </w:rPr>
        <w:t>3</w:t>
      </w:r>
      <w:r>
        <w:rPr>
          <w:rFonts w:cs="Times New Roman"/>
        </w:rPr>
        <w:t>, HNO</w:t>
      </w:r>
      <w:r>
        <w:rPr>
          <w:rFonts w:cs="Times New Roman"/>
          <w:vertAlign w:val="subscript"/>
        </w:rPr>
        <w:t>3</w:t>
      </w:r>
      <w:r>
        <w:rPr>
          <w:rFonts w:cs="Times New Roman"/>
        </w:rPr>
        <w:t xml:space="preserve"> and HO</w:t>
      </w:r>
      <w:r>
        <w:rPr>
          <w:rFonts w:cs="Times New Roman"/>
          <w:vertAlign w:val="subscript"/>
        </w:rPr>
        <w:t>2</w:t>
      </w:r>
      <w:r>
        <w:rPr>
          <w:rFonts w:cs="Times New Roman"/>
        </w:rPr>
        <w:t>, a new scheme for ship NO</w:t>
      </w:r>
      <w:r>
        <w:rPr>
          <w:rFonts w:cs="Times New Roman"/>
          <w:vertAlign w:val="subscript"/>
        </w:rPr>
        <w:t>x</w:t>
      </w:r>
      <w:r>
        <w:rPr>
          <w:rFonts w:cs="Times New Roman"/>
        </w:rPr>
        <w:t xml:space="preserve"> emissions, and the use of new maps for global leaf-area (used to calculate biogenic VOC emissions) – see Simpson et al. (2015) for details. The EMEP model, including a user guide, is publicly available as Open Source code at </w:t>
      </w:r>
      <w:hyperlink r:id="rId29" w:history="1">
        <w:r>
          <w:rPr>
            <w:rStyle w:val="Hyperlink"/>
            <w:rFonts w:cs="Times New Roman"/>
            <w:color w:val="000000" w:themeColor="text1"/>
            <w:u w:val="none"/>
          </w:rPr>
          <w:t>https://github.com/metno/emep-ctm</w:t>
        </w:r>
      </w:hyperlink>
      <w:r>
        <w:rPr>
          <w:rFonts w:cs="Times New Roman" w:hint="eastAsia"/>
          <w:lang w:eastAsia="zh-CN"/>
        </w:rPr>
        <w:t>.</w:t>
      </w:r>
      <w:r>
        <w:rPr>
          <w:rFonts w:cs="Times New Roman"/>
          <w:lang w:eastAsia="zh-CN"/>
        </w:rPr>
        <w:t xml:space="preserve"> </w:t>
      </w:r>
      <w:r>
        <w:rPr>
          <w:rFonts w:ascii="Calibri" w:eastAsia="Times New Roman" w:hAnsi="Calibri" w:cs="Calibri"/>
          <w:lang w:val="en-US"/>
        </w:rPr>
        <w:t>For more details, please contact Michael Gauss (</w:t>
      </w:r>
      <w:r>
        <w:rPr>
          <w:rFonts w:ascii="Calibri" w:eastAsia="Times New Roman" w:hAnsi="Calibri" w:cs="Calibri"/>
          <w:color w:val="0000FF"/>
          <w:lang w:val="en-US"/>
        </w:rPr>
        <w:t>michael.gauss@met.no</w:t>
      </w:r>
      <w:r>
        <w:rPr>
          <w:rFonts w:ascii="Calibri" w:eastAsia="Times New Roman" w:hAnsi="Calibri" w:cs="Calibri"/>
          <w:lang w:val="en-US"/>
        </w:rPr>
        <w:t>).</w:t>
      </w:r>
    </w:p>
    <w:p w:rsidR="00F6191F" w:rsidRDefault="00F6191F">
      <w:pPr>
        <w:jc w:val="both"/>
        <w:rPr>
          <w:rFonts w:cs="Times New Roman"/>
        </w:rPr>
      </w:pPr>
    </w:p>
    <w:p w:rsidR="00F6191F" w:rsidRDefault="00E5706D">
      <w:pPr>
        <w:jc w:val="both"/>
        <w:rPr>
          <w:rFonts w:cs="Times New Roman"/>
        </w:rPr>
      </w:pPr>
      <w:r>
        <w:rPr>
          <w:rFonts w:cs="Times New Roman"/>
        </w:rPr>
        <w:t>The EMEP forecasts are driven by 3-hourly meteorological forecast data from the ECMWF IFS model at 0.1 degree resolution. As for WRF-Chem, 6-hourly datasets for the chemical and aerosol species are provided by the global operational forecasting system implemented within the Copernicus Atmospheric Monitoring Service project.</w:t>
      </w:r>
    </w:p>
    <w:p w:rsidR="00F6191F" w:rsidRDefault="00F6191F">
      <w:pPr>
        <w:pStyle w:val="ListParagraph"/>
        <w:ind w:left="0"/>
        <w:jc w:val="both"/>
      </w:pPr>
    </w:p>
    <w:p w:rsidR="00F6191F" w:rsidRDefault="00E5706D">
      <w:pPr>
        <w:pStyle w:val="ListParagraph"/>
        <w:ind w:left="0"/>
        <w:jc w:val="both"/>
        <w:rPr>
          <w:b/>
          <w:i/>
        </w:rPr>
      </w:pPr>
      <w:r>
        <w:rPr>
          <w:b/>
          <w:i/>
        </w:rPr>
        <w:t>2.6. LOTOS-EUROS</w:t>
      </w:r>
    </w:p>
    <w:p w:rsidR="00F6191F" w:rsidRDefault="00F6191F">
      <w:pPr>
        <w:pStyle w:val="ListParagraph"/>
        <w:ind w:left="0"/>
        <w:jc w:val="both"/>
      </w:pPr>
    </w:p>
    <w:p w:rsidR="00F6191F" w:rsidRDefault="00E5706D">
      <w:pPr>
        <w:jc w:val="both"/>
      </w:pPr>
      <w:r>
        <w:t xml:space="preserve">LOTOS-EUROS (Long-term Ozone Simulations – European Operational Smog) is a three-dimensional regional chemistry transport model (CTM) for simulation of trace gases and aerosol concentrations in the boundary layer. Meteorological input is obtained from an offline model, in this study from ECMWF. The model is of intermediate complexity allowing long-term model simulations. For a detailed model description we refer to </w:t>
      </w:r>
      <w:r>
        <w:fldChar w:fldCharType="begin" w:fldLock="1"/>
      </w:r>
      <w:r>
        <w:instrText>ADDIN CSL_CITATION { "citationItems" : [ { "id" : "ITEM-1", "itemData" : { "author" : [ { "dropping-particle" : "", "family" : "Manders", "given" : "A.", "non-dropping-particle" : "", "parse-names" : false, "suffix" : "" }, { "dropping-particle" : "", "family" : "Builtjes", "given" : "P.", "non-dropping-particle" : "", "parse-names" : false, "suffix" : "" }, { "dropping-particle" : "", "family" : "Curier", "given" : "L.", "non-dropping-particle" : "", "parse-names" : false, "suffix" : "" }, { "dropping-particle" : "", "family" : "Denier van der Gon", "given" : "H.", "non-dropping-particle" : "", "parse-names" : false, "suffix" : "" }, { "dropping-particle" : "", "family" : "Hendriks", "given" : "C.", "non-dropping-particle" : "", "parse-names" : false, "suffix" : "" }, { "dropping-particle" : "", "family" : "Jonkers", "given" : "S.", "non-dropping-particle" : "", "parse-names" : false, "suffix" : "" }, { "dropping-particle" : "", "family" : "Kuenen", "given" : "J.", "non-dropping-particle" : "", "parse-names" : false, "suffix" : "" }, { "dropping-particle" : "", "family" : "Timmermans", "given" : "R.", "non-dropping-particle" : "", "parse-names" : false, "suffix" : "" }, { "dropping-particle" : "", "family" : "Wichink Kruit", "given" : "R.A.", "non-dropping-particle" : "", "parse-names" : false, "suffix" : "" }, { "dropping-particle" : "", "family" : "Pul", "given" : "A", "non-dropping-particle" : "van", "parse-names" : false, "suffix" : "" }, { "dropping-particle" : "", "family" : "Sauter", "given" : "F", "non-dropping-particle" : "", "parse-names" : false, "suffix" : "" }, { "dropping-particle" : "", "family" : "Swaluw", "given" : "E.", "non-dropping-particle" : "van der", "parse-names" : false, "suffix" : "" }, { "dropping-particle" : "", "family" : "Douros", "given" : "J.", "non-dropping-particle" : "", "parse-names" : false, "suffix" : "" }, { "dropping-particle" : "", "family" : "Eskes", "given" : "H.", "non-dropping-particle" : "", "parse-names" : false, "suffix" : "" }, { "dropping-particle" : "", "family" : "Meijgaard", "given" : "E.", "non-dropping-particle" : "van", "parse-names" : false, "suffix" : "" }, { "dropping-particle" : "", "family" : "Ulft", "given" : "B.", "non-dropping-particle" : "van", "parse-names" : false, "suffix" : "" }, { "dropping-particle" : "", "family" : "Mues", "given" : "A.", "non-dropping-particle" : "", "parse-names" : false, "suffix" : "" }, { "dropping-particle" : "", "family" : "Banzhaf", "given" : "S.", "non-dropping-particle" : "", "parse-names" : false, "suffix" : "" }, { "dropping-particle" : "", "family" : "Schaap", "given" : "M.", "non-dropping-particle" : "", "parse-names" : false, "suffix" : "" } ], "container-title" : "Geoscientific Model Development", "id" : "ITEM-1", "issued" : { "date-parts" : [ [ "2016" ] ] }, "title" : "Curriculum Vitae of the LOTOS-EUROS chemistry transport model (v1.11)", "type" : "article-journal", "volume" : "submitted" }, "uris" : [ "http://www.mendeley.com/documents/?uuid=dead4574-c42f-4f47-991c-fe6900d2a715" ] } ], "mendeley" : { "formattedCitation" : "(Manders et al., 2016)", "manualFormatting" : "Manders et al. (2016)", "plainTextFormattedCitation" : "(Manders et al., 2016)", "previouslyFormattedCitation" : "(Manders et al., 2016)" }, "properties" : { "noteIndex" : 0 }, "schema" : "https://github.com/citation-style-language/schema/raw/master/csl-citation.json" }</w:instrText>
      </w:r>
      <w:r>
        <w:fldChar w:fldCharType="separate"/>
      </w:r>
      <w:r>
        <w:t>Manders et al. (2017)</w:t>
      </w:r>
      <w:r>
        <w:fldChar w:fldCharType="end"/>
      </w:r>
      <w:r>
        <w:t xml:space="preserve"> and references therein.</w:t>
      </w:r>
    </w:p>
    <w:p w:rsidR="00F6191F" w:rsidRDefault="00E5706D">
      <w:pPr>
        <w:jc w:val="both"/>
      </w:pPr>
      <w:r>
        <w:t xml:space="preserve"> </w:t>
      </w:r>
    </w:p>
    <w:p w:rsidR="00F6191F" w:rsidRDefault="00E5706D">
      <w:pPr>
        <w:jc w:val="both"/>
      </w:pPr>
      <w:r>
        <w:t>In this study LOTOS-EUROS version 1.10 was used to simulate air quality over China. The configuration is described by Timmermans et al. (2017) who adopted this version of the model to investigate the origin of fine particulate matter across China using a source apportionment technique. Through a one-way nesting procedure a simulation over East-China was performed on a resolution of 0.25° longitude by 0.125° latitude, approximately 21 by 15 km</w:t>
      </w:r>
      <w:r>
        <w:rPr>
          <w:vertAlign w:val="superscript"/>
        </w:rPr>
        <w:t>2</w:t>
      </w:r>
      <w:r>
        <w:t>. This domain is nested in a larger domain covering China almost entirely with a resolution 1° longitude by 0.5° latitude, approximately 84 by 56 km</w:t>
      </w:r>
      <w:r>
        <w:rPr>
          <w:vertAlign w:val="superscript"/>
        </w:rPr>
        <w:t>2</w:t>
      </w:r>
      <w:r>
        <w:t xml:space="preserve">. Chemical boundary conditions for the coarse resolution domain were taken from the CAMS global modelling framework </w:t>
      </w:r>
      <w:r>
        <w:fldChar w:fldCharType="begin" w:fldLock="1"/>
      </w:r>
      <w:r>
        <w:instrText>ADDIN CSL_CITATION { "citationItems" : [ { "id" : "ITEM-1", "itemData" : { "DOI" : "10.5194/gmd-2-253-2009", "ISSN" : "1991-9603", "author" : [ { "dropping-particle" : "", "family" : "Flemming", "given" : "J.", "non-dropping-particle" : "", "parse-names" : false, "suffix" : "" }, { "dropping-particle" : "", "family" : "Inness", "given" : "a.", "non-dropping-particle" : "", "parse-names" : false, "suffix" : "" }, { "dropping-particle" : "", "family" : "Flentje", "given" : "H.", "non-dropping-particle" : "", "parse-names" : false, "suffix" : "" }, { "dropping-particle" : "", "family" : "Huijnen", "given" : "V.", "non-dropping-particle" : "", "parse-names" : false, "suffix" : "" }, { "dropping-particle" : "", "family" : "Moinat", "given" : "P.", "non-dropping-particle" : "", "parse-names" : false, "suffix" : "" }, { "dropping-particle" : "", "family" : "Schultz", "given" : "M. G.", "non-dropping-particle" : "", "parse-names" : false, "suffix" : "" }, { "dropping-particle" : "", "family" : "Stein", "given" : "O.", "non-dropping-particle" : "", "parse-names" : false, "suffix" : "" } ], "container-title" : "Geoscientific Model Development Discussions", "id" : "ITEM-1", "issue" : "2", "issued" : { "date-parts" : [ [ "2009" ] ] }, "page" : "763-795", "title" : "Coupling global chemistry transport models to ECMWF's integrated forecast system", "type" : "article-journal", "volume" : "2" }, "uris" : [ "http://www.mendeley.com/documents/?uuid=3b619df5-cc69-45cd-8c8a-e3837e66217b" ] } ], "mendeley" : { "formattedCitation" : "(Flemming et al., 2009)", "plainTextFormattedCitation" : "(Flemming et al., 2009)", "previouslyFormattedCitation" : "(Flemming et al., 2009)" }, "properties" : { "noteIndex" : 0 }, "schema" : "https://github.com/citation-style-language/schema/raw/master/csl-citation.json" }</w:instrText>
      </w:r>
      <w:r>
        <w:fldChar w:fldCharType="separate"/>
      </w:r>
      <w:r>
        <w:t>(Flemming et al., 2015)</w:t>
      </w:r>
      <w:r>
        <w:fldChar w:fldCharType="end"/>
      </w:r>
      <w:r>
        <w:t xml:space="preserve"> and include trace gasses and aerosols. In the vertical, the model used a boundary layer approach with 5 layers: a surface layer of 25m, a well-mixed boundary layer, two reservoir layers, and a layer for the free troposphere. The boundary layer height therefore defines the vertical structure of the model, and is here taken from the meteorological input. </w:t>
      </w:r>
      <w:r>
        <w:rPr>
          <w:rFonts w:ascii="Calibri" w:eastAsia="Times New Roman" w:hAnsi="Calibri" w:cs="Calibri"/>
          <w:lang w:val="en-US"/>
        </w:rPr>
        <w:t>More details about the code can be obtained by contacting Renske Timmermans (</w:t>
      </w:r>
      <w:r>
        <w:rPr>
          <w:rFonts w:ascii="Calibri" w:eastAsia="Times New Roman" w:hAnsi="Calibri" w:cs="Calibri"/>
          <w:color w:val="0000FF"/>
          <w:lang w:val="en-US"/>
        </w:rPr>
        <w:t>renske.timmermans@tno.nl</w:t>
      </w:r>
      <w:r>
        <w:rPr>
          <w:rFonts w:ascii="Calibri" w:eastAsia="Times New Roman" w:hAnsi="Calibri" w:cs="Calibri"/>
          <w:lang w:val="en-US"/>
        </w:rPr>
        <w:t xml:space="preserve">) at TNO or by consulting the web site </w:t>
      </w:r>
      <w:r>
        <w:rPr>
          <w:rFonts w:ascii="Calibri" w:eastAsia="Times New Roman" w:hAnsi="Calibri" w:cs="Calibri"/>
          <w:color w:val="356DFF"/>
          <w:lang w:val="en-US"/>
        </w:rPr>
        <w:t>https://lotos`euros.tno.nl/</w:t>
      </w:r>
      <w:r>
        <w:rPr>
          <w:rFonts w:ascii="Calibri" w:eastAsia="Times New Roman" w:hAnsi="Calibri" w:cs="Calibri"/>
          <w:lang w:val="en-US"/>
        </w:rPr>
        <w:t>.</w:t>
      </w:r>
    </w:p>
    <w:p w:rsidR="00F6191F" w:rsidRDefault="00F6191F">
      <w:pPr>
        <w:spacing w:before="100" w:beforeAutospacing="1" w:after="100" w:afterAutospacing="1"/>
        <w:contextualSpacing/>
        <w:jc w:val="both"/>
      </w:pPr>
    </w:p>
    <w:p w:rsidR="00F6191F" w:rsidRDefault="00E5706D">
      <w:pPr>
        <w:spacing w:before="100" w:beforeAutospacing="1" w:after="100" w:afterAutospacing="1"/>
        <w:contextualSpacing/>
        <w:jc w:val="both"/>
        <w:rPr>
          <w:rFonts w:cs="Times New Roman"/>
          <w:b/>
          <w:i/>
        </w:rPr>
      </w:pPr>
      <w:r>
        <w:rPr>
          <w:rFonts w:cs="Times New Roman"/>
          <w:b/>
          <w:i/>
        </w:rPr>
        <w:t>2.7. WRF-Chem-SMS</w:t>
      </w:r>
    </w:p>
    <w:p w:rsidR="00F6191F" w:rsidRDefault="00F6191F">
      <w:pPr>
        <w:spacing w:before="100" w:beforeAutospacing="1" w:after="100" w:afterAutospacing="1"/>
        <w:contextualSpacing/>
        <w:jc w:val="both"/>
        <w:rPr>
          <w:rFonts w:cs="Times New Roman"/>
        </w:rPr>
      </w:pPr>
    </w:p>
    <w:p w:rsidR="00F6191F" w:rsidRDefault="00E5706D">
      <w:pPr>
        <w:spacing w:before="100" w:beforeAutospacing="1" w:after="100" w:afterAutospacing="1"/>
        <w:contextualSpacing/>
        <w:jc w:val="both"/>
        <w:rPr>
          <w:rFonts w:eastAsia="AdvOT863180fb" w:cs="Times New Roman"/>
          <w:color w:val="000000" w:themeColor="text1"/>
        </w:rPr>
      </w:pPr>
      <w:r>
        <w:rPr>
          <w:rFonts w:cs="Times New Roman"/>
          <w:color w:val="000000" w:themeColor="text1"/>
        </w:rPr>
        <w:t xml:space="preserve">WRF-Chem-SMS hosted at the Shanghai Meteorological Service is based on WRF-Chem (Grell et al., 2005) version 3.2. The Regional Acid Deposition Model version 2 (RADM2, Chang et al., 1989) is used to represent gas-phase chemistry. ISORROPIA II is implemented to treat thermodynamic equilibrium for inorganic aerosols (Fountoukis and Nenes, 2007), and the Secondary ORGanic Aerosol Model (SORGAM) (Schell et al., 2001) is used to parameterize secondary organic aerosol formation. </w:t>
      </w:r>
      <w:r>
        <w:rPr>
          <w:rFonts w:eastAsia="AdvOT863180fb" w:cs="Times New Roman"/>
          <w:color w:val="000000" w:themeColor="text1"/>
        </w:rPr>
        <w:t xml:space="preserve">Madronich TUV scheme is applied for photolysis (Madronich and Flocke, 1999; Tie et al., 2003). </w:t>
      </w:r>
      <w:r>
        <w:rPr>
          <w:rFonts w:cs="Times New Roman"/>
          <w:color w:val="000000" w:themeColor="text1"/>
        </w:rPr>
        <w:t>The model domain covers the eastern region of China with horizontal resolutions of 6 km and 28 vertical layers.</w:t>
      </w:r>
      <w:r>
        <w:rPr>
          <w:rFonts w:eastAsia="AdvOT863180fb" w:cs="Times New Roman"/>
          <w:color w:val="000000" w:themeColor="text1"/>
        </w:rPr>
        <w:t xml:space="preserve"> Biogenic emissions are calculated online using</w:t>
      </w:r>
      <w:r>
        <w:rPr>
          <w:rFonts w:eastAsia="AdvOT863180fb" w:cs="Times New Roman" w:hint="eastAsia"/>
          <w:color w:val="000000" w:themeColor="text1"/>
          <w:lang w:eastAsia="zh-CN"/>
        </w:rPr>
        <w:t xml:space="preserve"> MEGAN model</w:t>
      </w:r>
      <w:r>
        <w:rPr>
          <w:rFonts w:eastAsia="AdvOT863180fb" w:cs="Times New Roman"/>
          <w:color w:val="000000" w:themeColor="text1"/>
          <w:lang w:eastAsia="zh-CN"/>
        </w:rPr>
        <w:t xml:space="preserve"> (Guenther et al., 2012)</w:t>
      </w:r>
      <w:r>
        <w:rPr>
          <w:rFonts w:eastAsia="AdvOT863180fb" w:cs="Times New Roman"/>
          <w:color w:val="000000" w:themeColor="text1"/>
        </w:rPr>
        <w:t xml:space="preserve">. The multi-resolution emission inventory for China (MEIC inventory, </w:t>
      </w:r>
      <w:hyperlink r:id="rId30" w:history="1">
        <w:r>
          <w:rPr>
            <w:rStyle w:val="Hyperlink"/>
            <w:rFonts w:eastAsia="AdvOT863180fb" w:cs="Times New Roman"/>
            <w:color w:val="000000" w:themeColor="text1"/>
            <w:u w:val="none"/>
          </w:rPr>
          <w:t>http://www.meicmodel.org/</w:t>
        </w:r>
      </w:hyperlink>
      <w:r>
        <w:rPr>
          <w:rFonts w:eastAsia="AdvOT863180fb" w:cs="Times New Roman"/>
          <w:color w:val="000000" w:themeColor="text1"/>
        </w:rPr>
        <w:t>; Li et al., 2014; Liu et al., 2015) for year 2010 is used to represent anthropogenic emissions.</w:t>
      </w:r>
    </w:p>
    <w:p w:rsidR="00F6191F" w:rsidRDefault="00E5706D">
      <w:pPr>
        <w:spacing w:before="100" w:beforeAutospacing="1" w:after="100" w:afterAutospacing="1"/>
        <w:contextualSpacing/>
        <w:jc w:val="both"/>
        <w:rPr>
          <w:rFonts w:cs="Times New Roman"/>
          <w:color w:val="000000" w:themeColor="text1"/>
        </w:rPr>
      </w:pPr>
      <w:r>
        <w:rPr>
          <w:rFonts w:eastAsia="AdvOT863180fb" w:cs="Times New Roman"/>
          <w:color w:val="000000" w:themeColor="text1"/>
        </w:rPr>
        <w:t xml:space="preserve"> </w:t>
      </w:r>
    </w:p>
    <w:p w:rsidR="00F6191F" w:rsidRDefault="00E5706D">
      <w:pPr>
        <w:spacing w:before="100" w:beforeAutospacing="1" w:after="100" w:afterAutospacing="1"/>
        <w:contextualSpacing/>
        <w:jc w:val="both"/>
        <w:rPr>
          <w:rFonts w:cs="Times New Roman"/>
          <w:color w:val="000000" w:themeColor="text1"/>
        </w:rPr>
      </w:pPr>
      <w:r>
        <w:rPr>
          <w:rFonts w:cs="Times New Roman"/>
          <w:color w:val="000000" w:themeColor="text1"/>
        </w:rPr>
        <w:t xml:space="preserve">The modeling system is initialized and forced at the lateral boundaries every day by 6 hourly data from the NCEP GFS at 0.5-degree resolution. For chemical species, previous modeling result is used for initial conditions. MOZART-4 historic data are employed as the gaseous chemical lateral boundary, and real time forecast of dust from the WRF-Dust model is employed as dust lateral boundary every 6 hours. More detailed information can be found in Zhou et al. (2017) </w:t>
      </w:r>
      <w:r>
        <w:rPr>
          <w:rFonts w:ascii="Calibri" w:eastAsia="Times New Roman" w:hAnsi="Calibri" w:cs="Calibri"/>
          <w:lang w:val="en-US"/>
        </w:rPr>
        <w:t>and by contacting Jianming Xu (</w:t>
      </w:r>
      <w:r>
        <w:rPr>
          <w:rFonts w:ascii="Calibri" w:eastAsia="Times New Roman" w:hAnsi="Calibri" w:cs="Calibri"/>
          <w:color w:val="0000FF"/>
          <w:lang w:val="en-US"/>
        </w:rPr>
        <w:t>metxujm@163.com</w:t>
      </w:r>
      <w:r>
        <w:rPr>
          <w:rFonts w:ascii="Calibri" w:eastAsia="Times New Roman" w:hAnsi="Calibri" w:cs="Calibri"/>
          <w:lang w:val="en-US"/>
        </w:rPr>
        <w:t xml:space="preserve">) at the Shanghai Meteorological Service. </w:t>
      </w:r>
    </w:p>
    <w:p w:rsidR="00F6191F" w:rsidRDefault="00E5706D">
      <w:pPr>
        <w:pStyle w:val="ListParagraph"/>
        <w:ind w:left="0"/>
        <w:jc w:val="both"/>
        <w:rPr>
          <w:b/>
          <w:i/>
        </w:rPr>
      </w:pPr>
      <w:r>
        <w:rPr>
          <w:b/>
          <w:i/>
        </w:rPr>
        <w:t>2.8. WRF-CMAQ</w:t>
      </w:r>
    </w:p>
    <w:p w:rsidR="00F6191F" w:rsidRDefault="00F6191F">
      <w:pPr>
        <w:pStyle w:val="ListParagraph"/>
        <w:ind w:left="0"/>
        <w:jc w:val="both"/>
      </w:pPr>
    </w:p>
    <w:p w:rsidR="00F6191F" w:rsidRDefault="00E5706D">
      <w:pPr>
        <w:jc w:val="both"/>
      </w:pPr>
      <w:r>
        <w:rPr>
          <w:rFonts w:hint="eastAsia"/>
        </w:rPr>
        <w:t xml:space="preserve">A regional air </w:t>
      </w:r>
      <w:r>
        <w:t>quality</w:t>
      </w:r>
      <w:r>
        <w:rPr>
          <w:rFonts w:hint="eastAsia"/>
        </w:rPr>
        <w:t xml:space="preserve"> </w:t>
      </w:r>
      <w:r>
        <w:t>operational</w:t>
      </w:r>
      <w:r>
        <w:rPr>
          <w:rFonts w:hint="eastAsia"/>
        </w:rPr>
        <w:t xml:space="preserve"> forecasting system </w:t>
      </w:r>
      <w:r>
        <w:t xml:space="preserve">was developed at </w:t>
      </w:r>
      <w:r>
        <w:rPr>
          <w:rFonts w:hint="eastAsia"/>
        </w:rPr>
        <w:t xml:space="preserve">Nanjing University, China, </w:t>
      </w:r>
      <w:r>
        <w:t xml:space="preserve">on the basis of </w:t>
      </w:r>
      <w:r>
        <w:rPr>
          <w:rFonts w:hint="eastAsia"/>
        </w:rPr>
        <w:t xml:space="preserve">the WRF-CMAQ model. </w:t>
      </w:r>
      <w:r>
        <w:t>The</w:t>
      </w:r>
      <w:r>
        <w:rPr>
          <w:rFonts w:hint="eastAsia"/>
        </w:rPr>
        <w:t xml:space="preserve"> version adopted for the</w:t>
      </w:r>
      <w:r>
        <w:t xml:space="preserve"> WRF (Weather and Forecasting) </w:t>
      </w:r>
      <w:r>
        <w:rPr>
          <w:rFonts w:hint="eastAsia"/>
        </w:rPr>
        <w:t xml:space="preserve">and CMAQ </w:t>
      </w:r>
      <w:r>
        <w:t xml:space="preserve">(Community Multiscale Air Quality) </w:t>
      </w:r>
      <w:r>
        <w:rPr>
          <w:rFonts w:hint="eastAsia"/>
        </w:rPr>
        <w:t>models are V3.5 and V4.7.1, respectively. T</w:t>
      </w:r>
      <w:r>
        <w:t>wo</w:t>
      </w:r>
      <w:r>
        <w:rPr>
          <w:rFonts w:hint="eastAsia"/>
        </w:rPr>
        <w:t xml:space="preserve"> nested</w:t>
      </w:r>
      <w:r>
        <w:t xml:space="preserve"> domains</w:t>
      </w:r>
      <w:r>
        <w:rPr>
          <w:rFonts w:hint="eastAsia"/>
        </w:rPr>
        <w:t xml:space="preserve"> with </w:t>
      </w:r>
      <w:r>
        <w:t xml:space="preserve">horizontal resolutions </w:t>
      </w:r>
      <w:r>
        <w:rPr>
          <w:rFonts w:hint="eastAsia"/>
        </w:rPr>
        <w:t>of</w:t>
      </w:r>
      <w:r>
        <w:t xml:space="preserve"> 36 km and 12 km </w:t>
      </w:r>
      <w:r>
        <w:rPr>
          <w:rFonts w:hint="eastAsia"/>
        </w:rPr>
        <w:t>are adopted for the forecasts</w:t>
      </w:r>
      <w:r>
        <w:t>.</w:t>
      </w:r>
      <w:r>
        <w:rPr>
          <w:rFonts w:hint="eastAsia"/>
        </w:rPr>
        <w:t xml:space="preserve"> </w:t>
      </w:r>
      <w:r>
        <w:t>The outer domain covers the entire continental region of China as well as surrounding countries in East Asia. The inner domain mainly focuses on the densely populated area of eastern China.</w:t>
      </w:r>
      <w:r>
        <w:rPr>
          <w:rFonts w:hint="eastAsia"/>
        </w:rPr>
        <w:t xml:space="preserve"> T</w:t>
      </w:r>
      <w:r>
        <w:t>he</w:t>
      </w:r>
      <w:r>
        <w:rPr>
          <w:rFonts w:hint="eastAsia"/>
        </w:rPr>
        <w:t xml:space="preserve"> </w:t>
      </w:r>
      <w:r>
        <w:t xml:space="preserve">number of </w:t>
      </w:r>
      <w:r>
        <w:rPr>
          <w:rFonts w:hint="eastAsia"/>
        </w:rPr>
        <w:t>grid points adopted for the WRF model are</w:t>
      </w:r>
      <w:r>
        <w:t xml:space="preserve"> 170 × 130 and 202 × 226, respectively</w:t>
      </w:r>
      <w:r>
        <w:rPr>
          <w:rFonts w:hint="eastAsia"/>
        </w:rPr>
        <w:t xml:space="preserve"> with</w:t>
      </w:r>
      <w:r>
        <w:t xml:space="preserve"> 51 sigma layers in vertical (12 layers below 1.5 km AGL)</w:t>
      </w:r>
      <w:r>
        <w:rPr>
          <w:rFonts w:hint="eastAsia"/>
        </w:rPr>
        <w:t xml:space="preserve"> between the surface and t</w:t>
      </w:r>
      <w:r>
        <w:t xml:space="preserve">he model top at 50 hPa. </w:t>
      </w:r>
      <w:bookmarkStart w:id="2" w:name="OLE_LINK43"/>
      <w:bookmarkStart w:id="3" w:name="OLE_LINK170"/>
      <w:bookmarkStart w:id="4" w:name="OLE_LINK171"/>
      <w:r>
        <w:t xml:space="preserve">The CMAQ model </w:t>
      </w:r>
      <w:r>
        <w:rPr>
          <w:rFonts w:hint="eastAsia"/>
        </w:rPr>
        <w:t>i</w:t>
      </w:r>
      <w:r>
        <w:t>s applied to the same domain</w:t>
      </w:r>
      <w:r>
        <w:rPr>
          <w:rFonts w:hint="eastAsia"/>
        </w:rPr>
        <w:t>s</w:t>
      </w:r>
      <w:r>
        <w:t xml:space="preserve"> but with three grid cells removed at each lateral boundary of the WRF domain</w:t>
      </w:r>
      <w:r>
        <w:rPr>
          <w:rFonts w:hint="eastAsia"/>
        </w:rPr>
        <w:t>s</w:t>
      </w:r>
      <w:r>
        <w:t>. 15 vertical layers are selected from the 51 WRF layers, including about 8 layers in the boundary layer and 7 layers in the free troposphere.</w:t>
      </w:r>
    </w:p>
    <w:p w:rsidR="00F6191F" w:rsidRDefault="00F6191F">
      <w:pPr>
        <w:jc w:val="both"/>
      </w:pPr>
    </w:p>
    <w:p w:rsidR="00F6191F" w:rsidRDefault="00E5706D">
      <w:pPr>
        <w:jc w:val="both"/>
      </w:pPr>
      <w:bookmarkStart w:id="5" w:name="OLE_LINK255"/>
      <w:bookmarkStart w:id="6" w:name="OLE_LINK256"/>
      <w:bookmarkStart w:id="7" w:name="OLE_LINK258"/>
      <w:bookmarkStart w:id="8" w:name="OLE_LINK257"/>
      <w:bookmarkEnd w:id="2"/>
      <w:bookmarkEnd w:id="3"/>
      <w:bookmarkEnd w:id="4"/>
      <w:r>
        <w:t>Anthropogenic</w:t>
      </w:r>
      <w:bookmarkEnd w:id="5"/>
      <w:bookmarkEnd w:id="6"/>
      <w:bookmarkEnd w:id="7"/>
      <w:bookmarkEnd w:id="8"/>
      <w:r>
        <w:t xml:space="preserve"> emissions are supplied offline from </w:t>
      </w:r>
      <w:r>
        <w:rPr>
          <w:rFonts w:hint="eastAsia"/>
        </w:rPr>
        <w:t>t</w:t>
      </w:r>
      <w:r>
        <w:t xml:space="preserve">he MIX inventory </w:t>
      </w:r>
      <w:r>
        <w:fldChar w:fldCharType="begin" w:fldLock="1"/>
      </w:r>
      <w:r>
        <w:instrText>ADDIN CSL_CITATION { "citationItems" : [ { "id" : "ITEM-1", "itemData" : { "DOI" : "10.5194/acpd-15-34813-2015", "author" : [ { "dropping-particle" : "", "family" : "Li", "given" : "M", "non-dropping-particle" : "", "parse-names" : false, "suffix" : "" }, { "dropping-particle" : "", "family" : "Zhang", "given" : "Q", "non-dropping-particle" : "", "parse-names" : false, "suffix" : "" }, { "dropping-particle" : "", "family" : "Kurokawa", "given" : "J", "non-dropping-particle" : "", "parse-names" : false, "suffix" : "" }, { "dropping-particle" : "", "family" : "Woo", "given" : "J.-H.", "non-dropping-particle" : "", "parse-names" : false, "suffix" : "" }, { "dropping-particle" : "", "family" : "He", "given" : "K B", "non-dropping-particle" : "", "parse-names" : false, "suffix" : "" }, { "dropping-particle" : "", "family" : "Lu", "given" : "Z", "non-dropping-particle" : "", "parse-names" : false, "suffix" : "" }, { "dropping-particle" : "", "family" : "Ohara", "given" : "T", "non-dropping-particle" : "", "parse-names" : false, "suffix" : "" }, { "dropping-particle" : "", "family" : "Song", "given" : "Y", "non-dropping-particle" : "", "parse-names" : false, "suffix" : "" }, { "dropping-particle" : "", "family" : "Streets", "given" : "D G", "non-dropping-particle" : "", "parse-names" : false, "suffix" : "" }, { "dropping-particle" : "", "family" : "Carmichael", "given" : "G R", "non-dropping-particle" : "", "parse-names" : false, "suffix" : "" }, { "dropping-particle" : "", "family" : "Cheng", "given" : "Y F", "non-dropping-particle" : "", "parse-names" : false, "suffix" : "" }, { "dropping-particle" : "", "family" : "Hong", "given" : "C P", "non-dropping-particle" : "", "parse-names" : false, "suffix" : "" }, { "dropping-particle" : "", "family" : "Huo", "given" : "H", "non-dropping-particle" : "", "parse-names" : false, "suffix" : "" }, { "dropping-particle" : "", "family" : "Jiang", "given" : "X J", "non-dropping-particle" : "", "parse-names" : false, "suffix" : "" }, { "dropping-particle" : "", "family" : "Kang", "given" : "S C", "non-dropping-particle" : "", "parse-names" : false, "suffix" : "" }, { "dropping-particle" : "", "family" : "Liu", "given" : "F", "non-dropping-particle" : "", "parse-names" : false, "suffix" : "" }, { "dropping-particle" : "", "family" : "Su", "given" : "H", "non-dropping-particle" : "", "parse-names" : false, "suffix" : "" }, { "dropping-particle" : "", "family" : "Zheng", "given" : "B", "non-dropping-particle" : "", "parse-names" : false, "suffix" : "" } ], "container-title" : "Atmospheric Chemistry and Physics Discussions", "id" : "ITEM-1", "issued" : { "date-parts" : [ [ "2015" ] ] }, "page" : "34813-34869", "title" : "MIX: a mosaic Asian anthropogenic emission inventory for the MICS-Asia and the HTAP projects", "type" : "article-journal", "volume" : "15" }, "uris" : [ "http://www.mendeley.com/documents/?uuid=0556dad5-d3e2-4c5b-b0f4-3d643132abe5" ] } ], "mendeley" : { "formattedCitation" : "(Li et al., 2015)", "plainTextFormattedCitation" : "(Li et al., 2015)", "previouslyFormattedCitation" : "(Li et al., 2015)" }, "properties" : { "noteIndex" : 0 }, "schema" : "https://github.com/citation-style-language/schema/raw/master/csl-citation.json" }</w:instrText>
      </w:r>
      <w:r>
        <w:fldChar w:fldCharType="separate"/>
      </w:r>
      <w:r>
        <w:t>(Li et al., 201</w:t>
      </w:r>
      <w:r>
        <w:rPr>
          <w:rFonts w:hint="eastAsia"/>
        </w:rPr>
        <w:t>7</w:t>
      </w:r>
      <w:r>
        <w:t>)</w:t>
      </w:r>
      <w:r>
        <w:fldChar w:fldCharType="end"/>
      </w:r>
      <w:r>
        <w:rPr>
          <w:rFonts w:hint="eastAsia"/>
        </w:rPr>
        <w:t xml:space="preserve">. </w:t>
      </w:r>
      <w:r>
        <w:t xml:space="preserve">Terrestrial biogenic emissions are </w:t>
      </w:r>
      <w:r>
        <w:rPr>
          <w:rFonts w:hint="eastAsia"/>
        </w:rPr>
        <w:t>calculated offline using</w:t>
      </w:r>
      <w:r>
        <w:t xml:space="preserve"> </w:t>
      </w:r>
      <w:bookmarkStart w:id="9" w:name="OLE_LINK287"/>
      <w:bookmarkStart w:id="10" w:name="OLE_LINK288"/>
      <w:r>
        <w:t>MEGAN</w:t>
      </w:r>
      <w:bookmarkEnd w:id="9"/>
      <w:bookmarkEnd w:id="10"/>
      <w:r>
        <w:t xml:space="preserve"> v2.04</w:t>
      </w:r>
      <w:r>
        <w:rPr>
          <w:rFonts w:hint="eastAsia"/>
          <w:lang w:eastAsia="zh-CN"/>
        </w:rPr>
        <w:t xml:space="preserve"> </w:t>
      </w:r>
      <w:r>
        <w:fldChar w:fldCharType="begin" w:fldLock="1"/>
      </w:r>
      <w:r>
        <w:instrText>ADDIN CSL_CITATION { "citationItems" : [ { "id" : "ITEM-1", "itemData" : { "DOI" : "10.5194/acp-6-3181-2006", "author" : [ { "dropping-particle" : "", "family" : "Guenther", "given" : "A", "non-dropping-particle" : "", "parse-names" : false, "suffix" : "" }, { "dropping-particle" : "", "family" : "Karl", "given" : "T", "non-dropping-particle" : "", "parse-names" : false, "suffix" : "" }, { "dropping-particle" : "", "family" : "Harley", "given" : "P", "non-dropping-particle" : "", "parse-names" : false, "suffix" : "" }, { "dropping-particle" : "", "family" : "Wiedinmyer", "given" : "C", "non-dropping-particle" : "", "parse-names" : false, "suffix" : "" }, { "dropping-particle" : "", "family" : "Palmer", "given" : "P I", "non-dropping-particle" : "", "parse-names" : false, "suffix" : "" }, { "dropping-particle" : "", "family" : "Geron", "given" : "C", "non-dropping-particle" : "", "parse-names" : false, "suffix" : "" } ], "container-title" : "Atmospheric Chemistry and Physics", "id" : "ITEM-1", "issue" : "11", "issued" : { "date-parts" : [ [ "2006" ] ] }, "page" : "3181-3210", "title" : "Estimates of global terrestrial isoprene emissions using MEGAN (Model of Emissions of Gases and Aerosols from Nature)", "type" : "article-journal", "volume" : "6" }, "uris" : [ "http://www.mendeley.com/documents/?uuid=abb70d90-5780-425c-b2e4-0452344ee3cc" ] }, { "id" : "ITEM-2", "itemData" : { "DOI" : "10.1021/es702274e", "author" : [ { "dropping-particle" : "", "family" : "Sakulyanontvittaya", "given" : "Tanarit", "non-dropping-particle" : "", "parse-names" : false, "suffix" : "" }, { "dropping-particle" : "", "family" : "Duhl", "given" : "Tiffany", "non-dropping-particle" : "", "parse-names" : false, "suffix" : "" }, { "dropping-particle" : "", "family" : "Wiedinmyer", "given" : "Christine", "non-dropping-particle" : "", "parse-names" : false, "suffix" : "" }, { "dropping-particle" : "", "family" : "Helmig", "given" : "Detlev", "non-dropping-particle" : "", "parse-names" : false, "suffix" : "" }, { "dropping-particle" : "", "family" : "Matsunaga", "given" : "Sou", "non-dropping-particle" : "", "parse-names" : false, "suffix" : "" }, { "dropping-particle" : "", "family" : "Potosnak", "given" : "Mark", "non-dropping-particle" : "", "parse-names" : false, "suffix" : "" }, { "dropping-particle" : "", "family" : "Milford", "given" : "Jana", "non-dropping-particle" : "", "parse-names" : false, "suffix" : "" }, { "dropping-particle" : "", "family" : "Guenther", "given" : "Alex", "non-dropping-particle" : "", "parse-names" : false, "suffix" : "" } ], "container-title" : "Environmental Science &amp; Technology", "id" : "ITEM-2", "issue" : "5", "issued" : { "date-parts" : [ [ "2008" ] ] }, "note" : "PMID: 18441812", "page" : "1623-1629", "title" : "Monoterpene and Sesquiterpene Emission Estimates for the United States", "type" : "article-journal", "volume" : "42" }, "uris" : [ "http://www.mendeley.com/documents/?uuid=9c431e0f-32b9-48c1-9dfc-7d92c85bddb3" ] } ], "mendeley" : { "formattedCitation" : "(Guenther et al., 2006; Sakulyanontvittaya et al., 2008)", "plainTextFormattedCitation" : "(Guenther et al., 2006; Sakulyanontvittaya et al., 2008)", "previouslyFormattedCitation" : "(Guenther et al., 2006; Sakulyanontvittaya et al., 2008)" }, "properties" : { "noteIndex" : 0 }, "schema" : "https://github.com/citation-style-language/schema/raw/master/csl-citation.json" }</w:instrText>
      </w:r>
      <w:r>
        <w:fldChar w:fldCharType="separate"/>
      </w:r>
      <w:r>
        <w:t>(Guenther et al., 2006)</w:t>
      </w:r>
      <w:r>
        <w:fldChar w:fldCharType="end"/>
      </w:r>
      <w:r>
        <w:rPr>
          <w:rFonts w:hint="eastAsia"/>
        </w:rPr>
        <w:t>.</w:t>
      </w:r>
      <w:r>
        <w:t xml:space="preserve"> Sea salt emissions are incorporated into the </w:t>
      </w:r>
      <w:bookmarkStart w:id="11" w:name="OLE_LINK297"/>
      <w:bookmarkStart w:id="12" w:name="OLE_LINK298"/>
      <w:r>
        <w:t>AERO4</w:t>
      </w:r>
      <w:bookmarkEnd w:id="11"/>
      <w:bookmarkEnd w:id="12"/>
      <w:r>
        <w:t xml:space="preserve"> aerosol module, and </w:t>
      </w:r>
      <w:bookmarkStart w:id="13" w:name="OLE_LINK169"/>
      <w:bookmarkStart w:id="14" w:name="OLE_LINK168"/>
      <w:r>
        <w:t>calculated online</w:t>
      </w:r>
      <w:bookmarkEnd w:id="13"/>
      <w:bookmarkEnd w:id="14"/>
      <w:r>
        <w:t xml:space="preserve"> in CMAQ.</w:t>
      </w:r>
      <w:r>
        <w:rPr>
          <w:rFonts w:hint="eastAsia"/>
        </w:rPr>
        <w:t xml:space="preserve"> </w:t>
      </w:r>
      <w:bookmarkStart w:id="15" w:name="OLE_LINK296"/>
      <w:bookmarkStart w:id="16" w:name="OLE_LINK295"/>
      <w:r>
        <w:rPr>
          <w:rFonts w:hint="eastAsia"/>
          <w:lang w:eastAsia="zh-CN"/>
        </w:rPr>
        <w:t>W</w:t>
      </w:r>
      <w:r>
        <w:t xml:space="preserve">ind-blown dust </w:t>
      </w:r>
      <w:r>
        <w:rPr>
          <w:rFonts w:hint="eastAsia"/>
          <w:lang w:eastAsia="zh-CN"/>
        </w:rPr>
        <w:t>is</w:t>
      </w:r>
      <w:r>
        <w:t xml:space="preserve"> </w:t>
      </w:r>
      <w:bookmarkEnd w:id="15"/>
      <w:bookmarkEnd w:id="16"/>
      <w:r>
        <w:rPr>
          <w:rFonts w:hint="eastAsia"/>
          <w:lang w:eastAsia="zh-CN"/>
        </w:rPr>
        <w:t xml:space="preserve">derived online from </w:t>
      </w:r>
      <w:r>
        <w:rPr>
          <w:lang w:eastAsia="zh-CN"/>
        </w:rPr>
        <w:t xml:space="preserve">the </w:t>
      </w:r>
      <w:r>
        <w:rPr>
          <w:rFonts w:hint="eastAsia"/>
          <w:lang w:eastAsia="zh-CN"/>
        </w:rPr>
        <w:t>WRF-Dust model</w:t>
      </w:r>
      <w:r>
        <w:t>.</w:t>
      </w:r>
      <w:bookmarkStart w:id="17" w:name="OLE_LINK565"/>
      <w:bookmarkStart w:id="18" w:name="OLE_LINK564"/>
      <w:r>
        <w:t xml:space="preserve"> </w:t>
      </w:r>
      <w:r>
        <w:rPr>
          <w:rFonts w:hint="eastAsia"/>
        </w:rPr>
        <w:t>O</w:t>
      </w:r>
      <w:r>
        <w:t xml:space="preserve">pen </w:t>
      </w:r>
      <w:bookmarkStart w:id="19" w:name="OLE_LINK174"/>
      <w:r>
        <w:t>biomass-burning emissions</w:t>
      </w:r>
      <w:bookmarkEnd w:id="17"/>
      <w:bookmarkEnd w:id="18"/>
      <w:bookmarkEnd w:id="19"/>
      <w:r>
        <w:t xml:space="preserve"> </w:t>
      </w:r>
      <w:bookmarkStart w:id="20" w:name="OLE_LINK566"/>
      <w:bookmarkStart w:id="21" w:name="OLE_LINK567"/>
      <w:bookmarkStart w:id="22" w:name="OLE_LINK568"/>
      <w:r>
        <w:t>are not considere</w:t>
      </w:r>
      <w:bookmarkEnd w:id="20"/>
      <w:r>
        <w:t>d</w:t>
      </w:r>
      <w:bookmarkEnd w:id="21"/>
      <w:bookmarkEnd w:id="22"/>
      <w:r>
        <w:t xml:space="preserve"> here.</w:t>
      </w:r>
      <w:r>
        <w:rPr>
          <w:rFonts w:hint="eastAsia"/>
        </w:rPr>
        <w:t xml:space="preserve"> </w:t>
      </w:r>
      <w:r>
        <w:t>I</w:t>
      </w:r>
      <w:r>
        <w:rPr>
          <w:rFonts w:hint="eastAsia"/>
        </w:rPr>
        <w:t xml:space="preserve">t should be noted that the </w:t>
      </w:r>
      <w:r>
        <w:t>anthropogenic emissions</w:t>
      </w:r>
      <w:r>
        <w:rPr>
          <w:rFonts w:hint="eastAsia"/>
        </w:rPr>
        <w:t xml:space="preserve"> are not fixed in this system, but are </w:t>
      </w:r>
      <w:r>
        <w:t>automatically</w:t>
      </w:r>
      <w:r>
        <w:rPr>
          <w:rFonts w:hint="eastAsia"/>
        </w:rPr>
        <w:t xml:space="preserve"> adjusted every week according to the system </w:t>
      </w:r>
      <w:r>
        <w:t>performance</w:t>
      </w:r>
      <w:r>
        <w:rPr>
          <w:rFonts w:hint="eastAsia"/>
        </w:rPr>
        <w:t xml:space="preserve"> in the past week</w:t>
      </w:r>
      <w:r>
        <w:t>. The adopted scaling factors are determined from the deviation between the weekly averaged calculated and observed concentrations of SO</w:t>
      </w:r>
      <w:r>
        <w:rPr>
          <w:vertAlign w:val="subscript"/>
        </w:rPr>
        <w:t>2</w:t>
      </w:r>
      <w:r>
        <w:t xml:space="preserve">, NOx, CO, PM2.5 and PM10 in 334 Chinese prefectures.  </w:t>
      </w:r>
    </w:p>
    <w:p w:rsidR="00F6191F" w:rsidRDefault="00F6191F">
      <w:pPr>
        <w:ind w:firstLine="420"/>
        <w:jc w:val="both"/>
      </w:pPr>
    </w:p>
    <w:p w:rsidR="00F6191F" w:rsidRDefault="00E5706D">
      <w:pPr>
        <w:pStyle w:val="ListParagraph"/>
        <w:ind w:left="0"/>
        <w:jc w:val="both"/>
      </w:pPr>
      <w:r>
        <w:lastRenderedPageBreak/>
        <w:t>T</w:t>
      </w:r>
      <w:r>
        <w:rPr>
          <w:rFonts w:hint="eastAsia"/>
        </w:rPr>
        <w:t xml:space="preserve">he system </w:t>
      </w:r>
      <w:r>
        <w:t xml:space="preserve">provides </w:t>
      </w:r>
      <w:r>
        <w:rPr>
          <w:rFonts w:hint="eastAsia"/>
        </w:rPr>
        <w:t>every day</w:t>
      </w:r>
      <w:r>
        <w:t xml:space="preserve"> a forecast for the next </w:t>
      </w:r>
      <w:r>
        <w:rPr>
          <w:rFonts w:hint="eastAsia"/>
        </w:rPr>
        <w:t xml:space="preserve">192 hours. </w:t>
      </w:r>
      <w:r>
        <w:t xml:space="preserve">The </w:t>
      </w:r>
      <w:r>
        <w:rPr>
          <w:rFonts w:hint="eastAsia"/>
          <w:lang w:eastAsia="zh-CN"/>
        </w:rPr>
        <w:t xml:space="preserve">NCEP </w:t>
      </w:r>
      <w:r>
        <w:t>Global Forecast System (GFS)’s</w:t>
      </w:r>
      <w:bookmarkStart w:id="23" w:name="OLE_LINK183"/>
      <w:r>
        <w:rPr>
          <w:rFonts w:hint="eastAsia"/>
        </w:rPr>
        <w:t xml:space="preserve"> products at 00 UTC are used for </w:t>
      </w:r>
      <w:r>
        <w:t xml:space="preserve">the initial and boundary conditions </w:t>
      </w:r>
      <w:bookmarkStart w:id="24" w:name="OLE_LINK75"/>
      <w:bookmarkStart w:id="25" w:name="OLE_LINK184"/>
      <w:bookmarkStart w:id="26" w:name="OLE_LINK185"/>
      <w:bookmarkStart w:id="27" w:name="OLE_LINK177"/>
      <w:bookmarkStart w:id="28" w:name="OLE_LINK178"/>
      <w:r>
        <w:rPr>
          <w:rFonts w:hint="eastAsia"/>
        </w:rPr>
        <w:t xml:space="preserve">of the WRF model with </w:t>
      </w:r>
      <w:r>
        <w:t>a resolution</w:t>
      </w:r>
      <w:r>
        <w:rPr>
          <w:rFonts w:hint="eastAsia"/>
        </w:rPr>
        <w:t xml:space="preserve"> of</w:t>
      </w:r>
      <w:r>
        <w:t xml:space="preserve"> 0.5-degree</w:t>
      </w:r>
      <w:bookmarkEnd w:id="24"/>
      <w:r>
        <w:t xml:space="preserve"> and with a 3-hour</w:t>
      </w:r>
      <w:bookmarkEnd w:id="23"/>
      <w:bookmarkEnd w:id="25"/>
      <w:bookmarkEnd w:id="26"/>
      <w:bookmarkEnd w:id="27"/>
      <w:bookmarkEnd w:id="28"/>
      <w:r>
        <w:rPr>
          <w:rFonts w:hint="eastAsia"/>
        </w:rPr>
        <w:t xml:space="preserve"> interval. </w:t>
      </w:r>
      <w:r>
        <w:t>F</w:t>
      </w:r>
      <w:r>
        <w:rPr>
          <w:rFonts w:hint="eastAsia"/>
        </w:rPr>
        <w:t xml:space="preserve">or the CMAQ model, the </w:t>
      </w:r>
      <w:r>
        <w:t>boundary conditions</w:t>
      </w:r>
      <w:r>
        <w:rPr>
          <w:rFonts w:hint="eastAsia"/>
          <w:lang w:eastAsia="zh-CN"/>
        </w:rPr>
        <w:t xml:space="preserve"> are created using idea</w:t>
      </w:r>
      <w:r>
        <w:rPr>
          <w:lang w:eastAsia="zh-CN"/>
        </w:rPr>
        <w:t>l</w:t>
      </w:r>
      <w:r>
        <w:rPr>
          <w:rFonts w:hint="eastAsia"/>
          <w:lang w:eastAsia="zh-CN"/>
        </w:rPr>
        <w:t xml:space="preserve"> profiles</w:t>
      </w:r>
      <w:r>
        <w:rPr>
          <w:rFonts w:hint="eastAsia"/>
        </w:rPr>
        <w:t xml:space="preserve">, and </w:t>
      </w:r>
      <w:r>
        <w:rPr>
          <w:rFonts w:hint="eastAsia"/>
          <w:lang w:eastAsia="zh-CN"/>
        </w:rPr>
        <w:t>t</w:t>
      </w:r>
      <w:r>
        <w:t>he chemical initial</w:t>
      </w:r>
      <w:r>
        <w:rPr>
          <w:rFonts w:hint="eastAsia"/>
        </w:rPr>
        <w:t xml:space="preserve"> fields</w:t>
      </w:r>
      <w:r>
        <w:t xml:space="preserve"> </w:t>
      </w:r>
      <w:r>
        <w:rPr>
          <w:rFonts w:hint="eastAsia"/>
        </w:rPr>
        <w:t>are</w:t>
      </w:r>
      <w:r>
        <w:t xml:space="preserve"> initialized from the previous forecast</w:t>
      </w:r>
      <w:r>
        <w:rPr>
          <w:rFonts w:hint="eastAsia"/>
        </w:rPr>
        <w:t>ing</w:t>
      </w:r>
      <w:r>
        <w:t>.</w:t>
      </w:r>
      <w:r>
        <w:rPr>
          <w:rFonts w:hint="eastAsia"/>
        </w:rPr>
        <w:t xml:space="preserve"> </w:t>
      </w:r>
      <w:r>
        <w:t>I</w:t>
      </w:r>
      <w:r>
        <w:rPr>
          <w:rFonts w:hint="eastAsia"/>
        </w:rPr>
        <w:t xml:space="preserve">n addition, </w:t>
      </w:r>
      <w:r>
        <w:t xml:space="preserve">hourly averaged </w:t>
      </w:r>
      <w:r>
        <w:rPr>
          <w:rFonts w:hint="eastAsia"/>
        </w:rPr>
        <w:t>observed</w:t>
      </w:r>
      <w:r>
        <w:t xml:space="preserve"> concentrations</w:t>
      </w:r>
      <w:r>
        <w:rPr>
          <w:rFonts w:hint="eastAsia"/>
        </w:rPr>
        <w:t xml:space="preserve"> of SO</w:t>
      </w:r>
      <w:r>
        <w:rPr>
          <w:rFonts w:hint="eastAsia"/>
          <w:vertAlign w:val="subscript"/>
        </w:rPr>
        <w:t>2</w:t>
      </w:r>
      <w:r>
        <w:rPr>
          <w:rFonts w:hint="eastAsia"/>
        </w:rPr>
        <w:t>, NO</w:t>
      </w:r>
      <w:r>
        <w:rPr>
          <w:rFonts w:hint="eastAsia"/>
          <w:vertAlign w:val="subscript"/>
        </w:rPr>
        <w:t>2</w:t>
      </w:r>
      <w:r>
        <w:rPr>
          <w:rFonts w:hint="eastAsia"/>
        </w:rPr>
        <w:t>, CO, O</w:t>
      </w:r>
      <w:r>
        <w:rPr>
          <w:rFonts w:hint="eastAsia"/>
          <w:vertAlign w:val="subscript"/>
        </w:rPr>
        <w:t>3</w:t>
      </w:r>
      <w:r>
        <w:rPr>
          <w:rFonts w:hint="eastAsia"/>
        </w:rPr>
        <w:t>, PM2.5 and PM10</w:t>
      </w:r>
      <w:r>
        <w:t xml:space="preserve"> from 1415 national control air quality-monitoring</w:t>
      </w:r>
      <w:r>
        <w:rPr>
          <w:rFonts w:hint="eastAsia"/>
        </w:rPr>
        <w:t xml:space="preserve"> sites are assimilated into the initial fields using an </w:t>
      </w:r>
      <w:r>
        <w:t xml:space="preserve">optimal interpolation </w:t>
      </w:r>
      <w:r>
        <w:rPr>
          <w:rFonts w:hint="eastAsia"/>
        </w:rPr>
        <w:t xml:space="preserve">method </w:t>
      </w:r>
      <w:r>
        <w:t>[Lorenc, 1981]</w:t>
      </w:r>
      <w:r>
        <w:rPr>
          <w:rFonts w:hint="eastAsia"/>
        </w:rPr>
        <w:t>.</w:t>
      </w:r>
      <w:r>
        <w:t xml:space="preserve"> </w:t>
      </w:r>
      <w:r>
        <w:rPr>
          <w:rFonts w:ascii="Calibri" w:eastAsia="Times New Roman" w:hAnsi="Calibri" w:cs="Calibri"/>
          <w:lang w:val="en-US"/>
        </w:rPr>
        <w:t>More information on the code can be obtained from Fei Jiang (</w:t>
      </w:r>
      <w:hyperlink r:id="rId31" w:history="1">
        <w:r>
          <w:rPr>
            <w:rStyle w:val="Hyperlink"/>
            <w:rFonts w:ascii="Calibri" w:eastAsia="Times New Roman" w:hAnsi="Calibri" w:cs="Calibri"/>
            <w:lang w:val="en-US"/>
          </w:rPr>
          <w:t>jiangf@nju.edu.cn</w:t>
        </w:r>
      </w:hyperlink>
      <w:r>
        <w:rPr>
          <w:rFonts w:ascii="Calibri" w:eastAsia="Times New Roman" w:hAnsi="Calibri" w:cs="Calibri"/>
          <w:lang w:val="en-US"/>
        </w:rPr>
        <w:t xml:space="preserve">) at Nanjing University. Information on WRF-CMAQ is also available on the web site </w:t>
      </w:r>
      <w:hyperlink r:id="rId32" w:history="1">
        <w:r>
          <w:rPr>
            <w:rStyle w:val="Hyperlink"/>
            <w:rFonts w:ascii="Calibri" w:eastAsia="Times New Roman" w:hAnsi="Calibri" w:cs="Calibri"/>
            <w:lang w:val="en-US"/>
          </w:rPr>
          <w:t>http://carbon.nju.edu.cn/cn/</w:t>
        </w:r>
      </w:hyperlink>
      <w:r>
        <w:rPr>
          <w:rFonts w:ascii="Calibri" w:eastAsia="Times New Roman" w:hAnsi="Calibri" w:cs="Calibri"/>
          <w:color w:val="356DFF"/>
          <w:lang w:val="en-US"/>
        </w:rPr>
        <w:t xml:space="preserve"> </w:t>
      </w:r>
      <w:r>
        <w:rPr>
          <w:rFonts w:ascii="Calibri" w:eastAsia="Times New Roman" w:hAnsi="Calibri" w:cs="Calibri"/>
          <w:lang w:val="en-US"/>
        </w:rPr>
        <w:t>and</w:t>
      </w:r>
      <w:r>
        <w:rPr>
          <w:rFonts w:ascii="Calibri" w:eastAsia="Times New Roman" w:hAnsi="Calibri" w:cs="Calibri"/>
          <w:color w:val="356DFF"/>
          <w:lang w:val="en-US"/>
        </w:rPr>
        <w:t xml:space="preserve"> </w:t>
      </w:r>
      <w:hyperlink r:id="rId33" w:history="1">
        <w:r>
          <w:rPr>
            <w:rStyle w:val="Hyperlink"/>
            <w:rFonts w:ascii="Calibri" w:eastAsia="Times New Roman" w:hAnsi="Calibri" w:cs="Calibri"/>
            <w:lang w:val="en-US"/>
          </w:rPr>
          <w:t>https://www.epa.gov/cmaq/cmaq-models-0</w:t>
        </w:r>
      </w:hyperlink>
      <w:r>
        <w:rPr>
          <w:rFonts w:ascii="Calibri" w:eastAsia="Times New Roman" w:hAnsi="Calibri" w:cs="Calibri"/>
          <w:color w:val="356DFF"/>
          <w:lang w:val="en-US"/>
        </w:rPr>
        <w:t>.</w:t>
      </w:r>
    </w:p>
    <w:p w:rsidR="00F6191F" w:rsidRDefault="00F6191F">
      <w:pPr>
        <w:pStyle w:val="ListParagraph"/>
        <w:ind w:left="0"/>
        <w:jc w:val="both"/>
        <w:rPr>
          <w:b/>
          <w:i/>
        </w:rPr>
      </w:pPr>
    </w:p>
    <w:p w:rsidR="00F6191F" w:rsidRDefault="00E5706D">
      <w:pPr>
        <w:pStyle w:val="ListParagraph"/>
        <w:ind w:left="0"/>
        <w:jc w:val="both"/>
        <w:rPr>
          <w:b/>
          <w:i/>
          <w:lang w:eastAsia="zh-CN"/>
        </w:rPr>
      </w:pPr>
      <w:r>
        <w:rPr>
          <w:b/>
          <w:i/>
        </w:rPr>
        <w:t>2.9. WARMS-CMAQ</w:t>
      </w:r>
    </w:p>
    <w:p w:rsidR="006772BB" w:rsidRDefault="006772BB">
      <w:pPr>
        <w:jc w:val="both"/>
        <w:rPr>
          <w:rFonts w:cs="Times New Roman"/>
          <w:color w:val="000000" w:themeColor="text1"/>
        </w:rPr>
      </w:pPr>
    </w:p>
    <w:p w:rsidR="00F6191F" w:rsidRDefault="00E5706D">
      <w:pPr>
        <w:jc w:val="both"/>
      </w:pPr>
      <w:r>
        <w:rPr>
          <w:rFonts w:cs="Times New Roman"/>
          <w:color w:val="000000" w:themeColor="text1"/>
        </w:rPr>
        <w:t>The Community Multiscale Air</w:t>
      </w:r>
      <w:r>
        <w:rPr>
          <w:rFonts w:cs="Times New Roman" w:hint="eastAsia"/>
          <w:color w:val="000000" w:themeColor="text1"/>
          <w:lang w:eastAsia="zh-CN"/>
        </w:rPr>
        <w:t xml:space="preserve"> </w:t>
      </w:r>
      <w:r>
        <w:rPr>
          <w:rFonts w:cs="Times New Roman"/>
          <w:color w:val="000000" w:themeColor="text1"/>
        </w:rPr>
        <w:t>Quality (CMAQ) model</w:t>
      </w:r>
      <w:r>
        <w:rPr>
          <w:rFonts w:cs="Times New Roman" w:hint="eastAsia"/>
          <w:color w:val="000000" w:themeColor="text1"/>
        </w:rPr>
        <w:t xml:space="preserve"> </w:t>
      </w:r>
      <w:r>
        <w:rPr>
          <w:rFonts w:cs="Times New Roman"/>
          <w:color w:val="000000" w:themeColor="text1"/>
        </w:rPr>
        <w:t>is a 3-D Eulerian chemical transport model that explicitly simulates emissions, gas-phase, aqueous, and mixed-phase chemistry, advection and dispersion, aerosol thermodynamics and physics, and wet and dry deposition. A detailed description and an evaluation of the CMAQ model are available in the papers by Byun and Schere (2006), Foley et al. (2010), and Appel et al. (</w:t>
      </w:r>
      <w:r>
        <w:rPr>
          <w:rFonts w:cs="Times New Roman" w:hint="eastAsia"/>
          <w:color w:val="000000" w:themeColor="text1"/>
        </w:rPr>
        <w:t>2017</w:t>
      </w:r>
      <w:r>
        <w:rPr>
          <w:rFonts w:cs="Times New Roman"/>
          <w:color w:val="000000" w:themeColor="text1"/>
        </w:rPr>
        <w:t>).</w:t>
      </w:r>
      <w:r>
        <w:rPr>
          <w:rFonts w:cs="Times New Roman" w:hint="eastAsia"/>
          <w:color w:val="000000" w:themeColor="text1"/>
          <w:lang w:eastAsia="zh-CN"/>
        </w:rPr>
        <w:t xml:space="preserve"> </w:t>
      </w:r>
      <w:r>
        <w:rPr>
          <w:rFonts w:hint="eastAsia"/>
          <w:lang w:val="en-US" w:eastAsia="zh-CN"/>
        </w:rPr>
        <w:t>Several studies have applied the CMAQ model to study the air quality in China. For example, Zheng et al. (2015) used WRF-CMAQ model to study the impact of heterogeneous chemistry during the January 2013 haze episode. Hu et al. (2016) performed a one-year retrospective simulation using WRF-CMAQ model to study the O</w:t>
      </w:r>
      <w:r>
        <w:rPr>
          <w:rFonts w:hint="eastAsia"/>
          <w:vertAlign w:val="subscript"/>
          <w:lang w:val="en-US" w:eastAsia="zh-CN"/>
        </w:rPr>
        <w:t>3</w:t>
      </w:r>
      <w:r>
        <w:rPr>
          <w:rFonts w:hint="eastAsia"/>
          <w:lang w:val="en-US" w:eastAsia="zh-CN"/>
        </w:rPr>
        <w:t xml:space="preserve"> and particulate matter formation with detailed evaluation. </w:t>
      </w:r>
      <w:r>
        <w:rPr>
          <w:rFonts w:cs="Times New Roman"/>
          <w:color w:val="000000" w:themeColor="text1"/>
          <w:lang w:eastAsia="zh-CN"/>
        </w:rPr>
        <w:t xml:space="preserve">Here </w:t>
      </w:r>
      <w:r>
        <w:rPr>
          <w:rFonts w:cs="Times New Roman"/>
          <w:color w:val="000000" w:themeColor="text1"/>
        </w:rPr>
        <w:t>the CMAQ</w:t>
      </w:r>
      <w:r>
        <w:rPr>
          <w:rFonts w:cs="Times New Roman" w:hint="eastAsia"/>
          <w:color w:val="000000" w:themeColor="text1"/>
        </w:rPr>
        <w:t xml:space="preserve"> </w:t>
      </w:r>
      <w:r>
        <w:rPr>
          <w:rFonts w:cs="Times New Roman"/>
          <w:color w:val="000000" w:themeColor="text1"/>
        </w:rPr>
        <w:t>version 5.0.2</w:t>
      </w:r>
      <w:r>
        <w:rPr>
          <w:rFonts w:cs="Times New Roman" w:hint="eastAsia"/>
          <w:color w:val="000000" w:themeColor="text1"/>
        </w:rPr>
        <w:t xml:space="preserve"> i</w:t>
      </w:r>
      <w:r>
        <w:rPr>
          <w:rFonts w:cs="Times New Roman"/>
          <w:color w:val="000000" w:themeColor="text1"/>
        </w:rPr>
        <w:t>s adopted and includes the 2005 Carbon Bond (CB05) chemical mechanism (Yarwood et al., 2005)</w:t>
      </w:r>
      <w:r>
        <w:rPr>
          <w:rFonts w:cs="Times New Roman" w:hint="eastAsia"/>
          <w:color w:val="000000" w:themeColor="text1"/>
        </w:rPr>
        <w:t xml:space="preserve"> to represent the gas-phase chemistry</w:t>
      </w:r>
      <w:r>
        <w:rPr>
          <w:rFonts w:cs="Times New Roman"/>
          <w:color w:val="000000" w:themeColor="text1"/>
        </w:rPr>
        <w:t xml:space="preserve">. </w:t>
      </w:r>
      <w:r>
        <w:rPr>
          <w:rFonts w:cs="Times New Roman" w:hint="eastAsia"/>
          <w:color w:val="000000" w:themeColor="text1"/>
        </w:rPr>
        <w:t xml:space="preserve">The </w:t>
      </w:r>
      <w:r>
        <w:rPr>
          <w:rFonts w:cs="Times New Roman"/>
          <w:color w:val="000000" w:themeColor="text1"/>
        </w:rPr>
        <w:t xml:space="preserve">fifth-generation modal CMAQ aerosol model </w:t>
      </w:r>
      <w:r>
        <w:rPr>
          <w:rFonts w:cs="Times New Roman" w:hint="eastAsia"/>
          <w:color w:val="000000" w:themeColor="text1"/>
        </w:rPr>
        <w:t xml:space="preserve">(aero5) </w:t>
      </w:r>
      <w:r>
        <w:rPr>
          <w:rFonts w:cs="Times New Roman"/>
          <w:color w:val="000000" w:themeColor="text1"/>
        </w:rPr>
        <w:t xml:space="preserve">is adopted to formulate </w:t>
      </w:r>
      <w:r>
        <w:rPr>
          <w:rFonts w:cs="Times New Roman" w:hint="eastAsia"/>
          <w:color w:val="000000" w:themeColor="text1"/>
        </w:rPr>
        <w:t>the aerosol chemistry and dynamics (</w:t>
      </w:r>
      <w:r>
        <w:rPr>
          <w:rFonts w:cs="Times New Roman"/>
          <w:color w:val="000000" w:themeColor="text1"/>
        </w:rPr>
        <w:t>Carlton</w:t>
      </w:r>
      <w:r>
        <w:rPr>
          <w:rFonts w:cs="Times New Roman" w:hint="eastAsia"/>
          <w:color w:val="000000" w:themeColor="text1"/>
        </w:rPr>
        <w:t xml:space="preserve"> et al., 2010)</w:t>
      </w:r>
      <w:r>
        <w:rPr>
          <w:rFonts w:cs="Times New Roman"/>
          <w:color w:val="000000" w:themeColor="text1"/>
        </w:rPr>
        <w:t xml:space="preserve">. </w:t>
      </w:r>
    </w:p>
    <w:p w:rsidR="00F6191F" w:rsidRDefault="00F6191F">
      <w:pPr>
        <w:spacing w:before="100" w:beforeAutospacing="1" w:after="100" w:afterAutospacing="1"/>
        <w:contextualSpacing/>
        <w:jc w:val="both"/>
        <w:rPr>
          <w:iCs/>
          <w:color w:val="000000" w:themeColor="text1"/>
          <w:lang w:eastAsia="zh-CN"/>
        </w:rPr>
      </w:pPr>
    </w:p>
    <w:p w:rsidR="00F6191F" w:rsidRDefault="00E5706D">
      <w:pPr>
        <w:spacing w:before="100" w:beforeAutospacing="1" w:after="100" w:afterAutospacing="1"/>
        <w:contextualSpacing/>
        <w:jc w:val="both"/>
        <w:rPr>
          <w:rFonts w:cs="Times New Roman"/>
          <w:color w:val="000000" w:themeColor="text1"/>
        </w:rPr>
      </w:pPr>
      <w:r>
        <w:rPr>
          <w:iCs/>
          <w:color w:val="000000" w:themeColor="text1"/>
        </w:rPr>
        <w:t xml:space="preserve">In this version, </w:t>
      </w:r>
      <w:r>
        <w:rPr>
          <w:rFonts w:hint="eastAsia"/>
          <w:iCs/>
          <w:color w:val="000000" w:themeColor="text1"/>
          <w:lang w:eastAsia="zh-CN"/>
        </w:rPr>
        <w:t>CMAQ</w:t>
      </w:r>
      <w:r>
        <w:rPr>
          <w:iCs/>
          <w:color w:val="000000" w:themeColor="text1"/>
        </w:rPr>
        <w:t xml:space="preserve"> is used in an off-line mode. It is forced by pre-calculated hourly meteorological fields for the dynamics and by several emissions fluxes for the chemistry.</w:t>
      </w:r>
      <w:r>
        <w:rPr>
          <w:rFonts w:cs="Times New Roman" w:hint="eastAsia"/>
          <w:color w:val="000000" w:themeColor="text1"/>
          <w:lang w:eastAsia="zh-CN"/>
        </w:rPr>
        <w:t xml:space="preserve"> </w:t>
      </w:r>
      <w:r>
        <w:rPr>
          <w:rFonts w:cs="Times New Roman"/>
          <w:color w:val="000000" w:themeColor="text1"/>
          <w:lang w:eastAsia="zh-CN"/>
        </w:rPr>
        <w:t>M</w:t>
      </w:r>
      <w:r>
        <w:rPr>
          <w:rFonts w:cs="Times New Roman"/>
          <w:color w:val="000000" w:themeColor="text1"/>
        </w:rPr>
        <w:t xml:space="preserve">eteorology fields that drive chemical transport are produced by the Shanghai Meteorological Service (SMS) WRF ADAS Real-time Modeling System (WARMS). </w:t>
      </w:r>
      <w:r>
        <w:rPr>
          <w:rFonts w:cs="Times New Roman"/>
        </w:rPr>
        <w:t>Th</w:t>
      </w:r>
      <w:r>
        <w:rPr>
          <w:rFonts w:cs="Times New Roman"/>
          <w:lang w:eastAsia="zh-CN"/>
        </w:rPr>
        <w:t>e SMS-WARMS has been</w:t>
      </w:r>
      <w:r>
        <w:rPr>
          <w:rFonts w:cs="Times New Roman"/>
        </w:rPr>
        <w:t xml:space="preserve"> extensively evaluated and is providing weather predictions in Eastern China.</w:t>
      </w:r>
      <w:r>
        <w:rPr>
          <w:rFonts w:cs="Times New Roman"/>
          <w:lang w:eastAsia="zh-CN"/>
        </w:rPr>
        <w:t xml:space="preserve"> </w:t>
      </w:r>
      <w:r>
        <w:rPr>
          <w:rFonts w:cs="Times New Roman"/>
          <w:color w:val="000000" w:themeColor="text1"/>
        </w:rPr>
        <w:t>The modelling domain consists of 760 by 600 horizontal grids at 9-km resolution</w:t>
      </w:r>
      <w:r>
        <w:rPr>
          <w:rFonts w:cs="Times New Roman"/>
          <w:color w:val="000000" w:themeColor="text1"/>
          <w:lang w:eastAsia="zh-CN"/>
        </w:rPr>
        <w:t xml:space="preserve">, with </w:t>
      </w:r>
      <w:r>
        <w:rPr>
          <w:rFonts w:cs="Times New Roman"/>
          <w:color w:val="000000" w:themeColor="text1"/>
        </w:rPr>
        <w:t>51 layers in the vertical</w:t>
      </w:r>
      <w:r>
        <w:rPr>
          <w:rFonts w:cs="Times New Roman"/>
          <w:color w:val="000000" w:themeColor="text1"/>
          <w:lang w:eastAsia="zh-CN"/>
        </w:rPr>
        <w:t xml:space="preserve">. </w:t>
      </w:r>
      <w:r>
        <w:rPr>
          <w:rFonts w:cs="Times New Roman"/>
          <w:color w:val="000000" w:themeColor="text1"/>
        </w:rPr>
        <w:t xml:space="preserve">As a subdomain of the SMS-WARMS run, the CMAQ domain consists of 430 by 370 horizontal grid cells at 9-km resolution. In the vertical, 26 layers are applied. </w:t>
      </w:r>
    </w:p>
    <w:p w:rsidR="00F6191F" w:rsidRDefault="00F6191F">
      <w:pPr>
        <w:spacing w:before="100" w:beforeAutospacing="1" w:after="100" w:afterAutospacing="1"/>
        <w:contextualSpacing/>
        <w:jc w:val="both"/>
        <w:rPr>
          <w:rFonts w:cs="Times New Roman"/>
          <w:color w:val="000000" w:themeColor="text1"/>
        </w:rPr>
      </w:pPr>
    </w:p>
    <w:p w:rsidR="00F6191F" w:rsidRDefault="00E5706D">
      <w:pPr>
        <w:spacing w:before="100" w:beforeAutospacing="1" w:after="100" w:afterAutospacing="1"/>
        <w:contextualSpacing/>
        <w:jc w:val="both"/>
        <w:rPr>
          <w:rFonts w:cs="Times New Roman"/>
          <w:color w:val="000000" w:themeColor="text1"/>
        </w:rPr>
      </w:pPr>
      <w:r>
        <w:rPr>
          <w:rFonts w:cs="Times New Roman"/>
          <w:color w:val="000000" w:themeColor="text1"/>
        </w:rPr>
        <w:t>The anthropogenic emissions are based on monthly HTAP</w:t>
      </w:r>
      <w:r>
        <w:rPr>
          <w:rFonts w:cs="Times New Roman" w:hint="eastAsia"/>
          <w:color w:val="000000" w:themeColor="text1"/>
        </w:rPr>
        <w:t xml:space="preserve"> </w:t>
      </w:r>
      <w:r>
        <w:rPr>
          <w:rFonts w:cs="Times New Roman"/>
          <w:color w:val="000000" w:themeColor="text1"/>
        </w:rPr>
        <w:t>v2 dataset (</w:t>
      </w:r>
      <w:hyperlink r:id="rId34" w:history="1">
        <w:r>
          <w:rPr>
            <w:color w:val="000000" w:themeColor="text1"/>
          </w:rPr>
          <w:t>http://edgar.jrc.ec.europa.eu/htap_v2/</w:t>
        </w:r>
      </w:hyperlink>
      <w:r>
        <w:rPr>
          <w:rFonts w:cs="Times New Roman"/>
          <w:color w:val="000000" w:themeColor="text1"/>
        </w:rPr>
        <w:t xml:space="preserve">) </w:t>
      </w:r>
      <w:r>
        <w:rPr>
          <w:rFonts w:cs="Times New Roman" w:hint="eastAsia"/>
          <w:color w:val="000000" w:themeColor="text1"/>
        </w:rPr>
        <w:t>(</w:t>
      </w:r>
      <w:r>
        <w:rPr>
          <w:rFonts w:cs="Times New Roman"/>
          <w:color w:val="000000" w:themeColor="text1"/>
        </w:rPr>
        <w:t>Janssens-Maenhout</w:t>
      </w:r>
      <w:r>
        <w:rPr>
          <w:rFonts w:cs="Times New Roman" w:hint="eastAsia"/>
          <w:color w:val="000000" w:themeColor="text1"/>
        </w:rPr>
        <w:t xml:space="preserve"> et al., 2015) </w:t>
      </w:r>
      <w:r>
        <w:rPr>
          <w:rFonts w:cs="Times New Roman"/>
          <w:color w:val="000000" w:themeColor="text1"/>
        </w:rPr>
        <w:t>for year 2010</w:t>
      </w:r>
      <w:r>
        <w:rPr>
          <w:rFonts w:cs="Times New Roman" w:hint="eastAsia"/>
          <w:color w:val="000000" w:themeColor="text1"/>
        </w:rPr>
        <w:t xml:space="preserve">. </w:t>
      </w:r>
      <w:r>
        <w:rPr>
          <w:rFonts w:cs="Times New Roman"/>
          <w:color w:val="000000" w:themeColor="text1"/>
        </w:rPr>
        <w:t xml:space="preserve">As suggested by operational forecasting results, the </w:t>
      </w:r>
      <w:r>
        <w:rPr>
          <w:rFonts w:cs="Times New Roman" w:hint="eastAsia"/>
          <w:color w:val="000000" w:themeColor="text1"/>
        </w:rPr>
        <w:t xml:space="preserve">HTAP </w:t>
      </w:r>
      <w:r>
        <w:rPr>
          <w:rFonts w:cs="Times New Roman"/>
          <w:color w:val="000000" w:themeColor="text1"/>
        </w:rPr>
        <w:t>NOx, SO</w:t>
      </w:r>
      <w:r>
        <w:rPr>
          <w:rFonts w:cs="Times New Roman"/>
          <w:color w:val="000000" w:themeColor="text1"/>
          <w:vertAlign w:val="subscript"/>
        </w:rPr>
        <w:t>2</w:t>
      </w:r>
      <w:r>
        <w:rPr>
          <w:rFonts w:cs="Times New Roman" w:hint="eastAsia"/>
          <w:color w:val="000000" w:themeColor="text1"/>
          <w:lang w:eastAsia="zh-CN"/>
        </w:rPr>
        <w:t xml:space="preserve"> </w:t>
      </w:r>
      <w:r>
        <w:rPr>
          <w:rFonts w:cs="Times New Roman"/>
          <w:color w:val="000000" w:themeColor="text1"/>
        </w:rPr>
        <w:t>emissions</w:t>
      </w:r>
      <w:r>
        <w:rPr>
          <w:rFonts w:cs="Times New Roman" w:hint="eastAsia"/>
          <w:color w:val="000000" w:themeColor="text1"/>
        </w:rPr>
        <w:t xml:space="preserve"> </w:t>
      </w:r>
      <w:r>
        <w:rPr>
          <w:rFonts w:cs="Times New Roman"/>
          <w:color w:val="000000" w:themeColor="text1"/>
        </w:rPr>
        <w:t xml:space="preserve">are adjusted </w:t>
      </w:r>
      <w:r>
        <w:rPr>
          <w:rFonts w:cs="Times New Roman" w:hint="eastAsia"/>
          <w:color w:val="000000" w:themeColor="text1"/>
        </w:rPr>
        <w:t xml:space="preserve">to account for rapid </w:t>
      </w:r>
      <w:r>
        <w:rPr>
          <w:rFonts w:cs="Times New Roman"/>
          <w:color w:val="000000" w:themeColor="text1"/>
        </w:rPr>
        <w:t>economic growth</w:t>
      </w:r>
      <w:r>
        <w:rPr>
          <w:rFonts w:cs="Times New Roman" w:hint="eastAsia"/>
          <w:color w:val="000000" w:themeColor="text1"/>
        </w:rPr>
        <w:t xml:space="preserve"> in the region</w:t>
      </w:r>
      <w:r>
        <w:rPr>
          <w:rFonts w:cs="Times New Roman"/>
          <w:color w:val="000000" w:themeColor="text1"/>
        </w:rPr>
        <w:t xml:space="preserve">. Biogenic emissions are estimated by the MEGAN model version 2.10 (Guenther et al., 2012). Currently, dust and biomass burning emissions are not included. </w:t>
      </w:r>
    </w:p>
    <w:p w:rsidR="00F6191F" w:rsidRDefault="00F6191F">
      <w:pPr>
        <w:spacing w:before="100" w:beforeAutospacing="1" w:after="100" w:afterAutospacing="1"/>
        <w:contextualSpacing/>
        <w:jc w:val="both"/>
        <w:rPr>
          <w:rFonts w:cs="Times New Roman"/>
          <w:color w:val="000000" w:themeColor="text1"/>
        </w:rPr>
      </w:pPr>
    </w:p>
    <w:p w:rsidR="00F6191F" w:rsidRDefault="00E5706D">
      <w:pPr>
        <w:jc w:val="both"/>
        <w:rPr>
          <w:rFonts w:cs="Times New Roman"/>
          <w:color w:val="000000" w:themeColor="text1"/>
        </w:rPr>
      </w:pPr>
      <w:r>
        <w:rPr>
          <w:rFonts w:cs="Times New Roman"/>
          <w:color w:val="000000" w:themeColor="text1"/>
        </w:rPr>
        <w:t xml:space="preserve">For the SMS-WARMS model forecasts, the NCEP GFS output at 0.5 degree is used as a background for ADAS data assimilation scheme, which ingests many local observations (e.g. radar and buoys), and to provide lateral boundary conditions. </w:t>
      </w:r>
      <w:r>
        <w:rPr>
          <w:rFonts w:cs="Times New Roman" w:hint="eastAsia"/>
          <w:color w:val="000000" w:themeColor="text1"/>
        </w:rPr>
        <w:t>The c</w:t>
      </w:r>
      <w:r>
        <w:rPr>
          <w:rFonts w:cs="Times New Roman"/>
          <w:color w:val="000000" w:themeColor="text1"/>
        </w:rPr>
        <w:t>hemical boundary conditions are currently</w:t>
      </w:r>
      <w:r>
        <w:rPr>
          <w:rFonts w:cs="Times New Roman" w:hint="eastAsia"/>
          <w:color w:val="000000" w:themeColor="text1"/>
        </w:rPr>
        <w:t xml:space="preserve"> </w:t>
      </w:r>
      <w:r>
        <w:rPr>
          <w:rFonts w:cs="Times New Roman"/>
          <w:color w:val="000000" w:themeColor="text1"/>
        </w:rPr>
        <w:t xml:space="preserve">based on the default vertical profiles of gaseous species and aerosols </w:t>
      </w:r>
      <w:r>
        <w:rPr>
          <w:rFonts w:cs="Times New Roman"/>
          <w:color w:val="000000" w:themeColor="text1"/>
        </w:rPr>
        <w:lastRenderedPageBreak/>
        <w:t xml:space="preserve">in CMAQ that represent clean air conditions. </w:t>
      </w:r>
      <w:r>
        <w:rPr>
          <w:rFonts w:ascii="Calibri" w:eastAsia="Times New Roman" w:hAnsi="Calibri" w:cs="Calibri"/>
          <w:lang w:val="en-US"/>
        </w:rPr>
        <w:t>For more details, please contact Ying Xie (</w:t>
      </w:r>
      <w:r>
        <w:rPr>
          <w:rFonts w:ascii="Calibri" w:eastAsia="Times New Roman" w:hAnsi="Calibri" w:cs="Calibri"/>
          <w:color w:val="0000FF"/>
          <w:lang w:val="en-US"/>
        </w:rPr>
        <w:t>yxie33@outlook.com</w:t>
      </w:r>
      <w:r>
        <w:rPr>
          <w:rFonts w:ascii="Calibri" w:eastAsia="Times New Roman" w:hAnsi="Calibri" w:cs="Calibri"/>
          <w:lang w:val="en-US"/>
        </w:rPr>
        <w:t xml:space="preserve">) at the Shanghai Meteorological Service. </w:t>
      </w:r>
      <w:r>
        <w:rPr>
          <w:rFonts w:ascii="Calibri" w:eastAsia="Times New Roman" w:hAnsi="Calibri" w:cs="Calibri"/>
          <w:color w:val="163568"/>
          <w:lang w:val="en-US"/>
        </w:rPr>
        <w:t xml:space="preserve">The CMAQ code available on the US-EPA modeling site </w:t>
      </w:r>
      <w:r>
        <w:rPr>
          <w:rFonts w:ascii="Calibri" w:eastAsia="Times New Roman" w:hAnsi="Calibri" w:cs="Calibri"/>
          <w:color w:val="0000FF"/>
          <w:lang w:val="en-US"/>
        </w:rPr>
        <w:t>https://github.com/USEPA/CMAQ/</w:t>
      </w:r>
      <w:r>
        <w:rPr>
          <w:rFonts w:ascii="Calibri" w:eastAsia="Times New Roman" w:hAnsi="Calibri" w:cs="Calibri"/>
          <w:color w:val="163568"/>
          <w:lang w:val="en-US"/>
        </w:rPr>
        <w:t>).</w:t>
      </w:r>
    </w:p>
    <w:p w:rsidR="00F6191F" w:rsidRDefault="00F6191F">
      <w:pPr>
        <w:rPr>
          <w:rFonts w:cs="Times New Roman"/>
          <w:color w:val="000000" w:themeColor="text1"/>
        </w:rPr>
      </w:pPr>
    </w:p>
    <w:p w:rsidR="00F6191F" w:rsidRDefault="00F6191F">
      <w:pPr>
        <w:pStyle w:val="ListParagraph"/>
        <w:ind w:left="0"/>
      </w:pPr>
    </w:p>
    <w:p w:rsidR="00F6191F" w:rsidRDefault="00F6191F">
      <w:pPr>
        <w:pStyle w:val="ListParagraph"/>
        <w:ind w:left="0"/>
      </w:pPr>
    </w:p>
    <w:p w:rsidR="00F6191F" w:rsidRDefault="00E5706D">
      <w:pPr>
        <w:pStyle w:val="ListParagraph"/>
        <w:ind w:left="0"/>
        <w:rPr>
          <w:b/>
        </w:rPr>
      </w:pPr>
      <w:r>
        <w:rPr>
          <w:b/>
        </w:rPr>
        <w:t>Table 2a. Description of the Different Models</w:t>
      </w:r>
    </w:p>
    <w:p w:rsidR="00F6191F" w:rsidRDefault="00F6191F">
      <w:pPr>
        <w:pStyle w:val="ListParagraph"/>
        <w:ind w:left="0"/>
      </w:pPr>
    </w:p>
    <w:tbl>
      <w:tblPr>
        <w:tblStyle w:val="MediumShading2-Accent1"/>
        <w:tblW w:w="9236" w:type="dxa"/>
        <w:tblLayout w:type="fixed"/>
        <w:tblLook w:val="04A0" w:firstRow="1" w:lastRow="0" w:firstColumn="1" w:lastColumn="0" w:noHBand="0" w:noVBand="1"/>
      </w:tblPr>
      <w:tblGrid>
        <w:gridCol w:w="1298"/>
        <w:gridCol w:w="1060"/>
        <w:gridCol w:w="1080"/>
        <w:gridCol w:w="1530"/>
        <w:gridCol w:w="1710"/>
        <w:gridCol w:w="1260"/>
        <w:gridCol w:w="1298"/>
      </w:tblGrid>
      <w:tr w:rsidR="00F6191F" w:rsidTr="00F6191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98" w:type="dxa"/>
          </w:tcPr>
          <w:p w:rsidR="00F6191F" w:rsidRDefault="00E5706D">
            <w:pPr>
              <w:pStyle w:val="ListParagraph"/>
              <w:ind w:left="0"/>
              <w:rPr>
                <w:bCs w:val="0"/>
                <w:sz w:val="22"/>
                <w:szCs w:val="22"/>
              </w:rPr>
            </w:pPr>
            <w:r>
              <w:rPr>
                <w:sz w:val="22"/>
                <w:szCs w:val="22"/>
              </w:rPr>
              <w:t>Model and Institution</w:t>
            </w:r>
          </w:p>
        </w:tc>
        <w:tc>
          <w:tcPr>
            <w:tcW w:w="1060"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Cs w:val="0"/>
                <w:sz w:val="22"/>
                <w:szCs w:val="22"/>
              </w:rPr>
            </w:pPr>
            <w:r>
              <w:rPr>
                <w:sz w:val="22"/>
                <w:szCs w:val="22"/>
              </w:rPr>
              <w:t>Model Documentation</w:t>
            </w:r>
          </w:p>
        </w:tc>
        <w:tc>
          <w:tcPr>
            <w:tcW w:w="1080"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Cs w:val="0"/>
                <w:sz w:val="22"/>
                <w:szCs w:val="22"/>
              </w:rPr>
            </w:pPr>
            <w:r>
              <w:rPr>
                <w:sz w:val="22"/>
                <w:szCs w:val="22"/>
              </w:rPr>
              <w:t>Type of Model</w:t>
            </w:r>
          </w:p>
        </w:tc>
        <w:tc>
          <w:tcPr>
            <w:tcW w:w="1530"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Cs w:val="0"/>
                <w:sz w:val="22"/>
                <w:szCs w:val="22"/>
              </w:rPr>
            </w:pPr>
            <w:r>
              <w:rPr>
                <w:sz w:val="22"/>
                <w:szCs w:val="22"/>
              </w:rPr>
              <w:t>Spatial Domain</w:t>
            </w:r>
          </w:p>
        </w:tc>
        <w:tc>
          <w:tcPr>
            <w:tcW w:w="1710"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Cs w:val="0"/>
                <w:sz w:val="22"/>
                <w:szCs w:val="22"/>
              </w:rPr>
            </w:pPr>
            <w:r>
              <w:rPr>
                <w:sz w:val="22"/>
                <w:szCs w:val="22"/>
              </w:rPr>
              <w:t>Vertical and Horizontal Resolution</w:t>
            </w:r>
          </w:p>
        </w:tc>
        <w:tc>
          <w:tcPr>
            <w:tcW w:w="1260"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Cs w:val="0"/>
                <w:sz w:val="22"/>
                <w:szCs w:val="22"/>
              </w:rPr>
            </w:pPr>
            <w:r>
              <w:rPr>
                <w:sz w:val="22"/>
                <w:szCs w:val="22"/>
              </w:rPr>
              <w:t>Meteo Data</w:t>
            </w:r>
          </w:p>
        </w:tc>
        <w:tc>
          <w:tcPr>
            <w:tcW w:w="1298"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Cs w:val="0"/>
                <w:sz w:val="22"/>
                <w:szCs w:val="22"/>
              </w:rPr>
            </w:pPr>
            <w:r>
              <w:rPr>
                <w:sz w:val="22"/>
                <w:szCs w:val="22"/>
              </w:rPr>
              <w:t>Initial and Boundary Conditions</w:t>
            </w:r>
          </w:p>
        </w:tc>
      </w:tr>
      <w:tr w:rsidR="00F6191F" w:rsidTr="00F6191F">
        <w:tc>
          <w:tcPr>
            <w:cnfStyle w:val="001000000000" w:firstRow="0" w:lastRow="0" w:firstColumn="1" w:lastColumn="0" w:oddVBand="0" w:evenVBand="0" w:oddHBand="0" w:evenHBand="0" w:firstRowFirstColumn="0" w:firstRowLastColumn="0" w:lastRowFirstColumn="0" w:lastRowLastColumn="0"/>
            <w:tcW w:w="1298" w:type="dxa"/>
          </w:tcPr>
          <w:p w:rsidR="00F6191F" w:rsidRDefault="00E5706D">
            <w:pPr>
              <w:pStyle w:val="ListParagraph"/>
              <w:ind w:left="0"/>
              <w:rPr>
                <w:b w:val="0"/>
                <w:bCs w:val="0"/>
                <w:sz w:val="22"/>
                <w:szCs w:val="22"/>
              </w:rPr>
            </w:pPr>
            <w:r>
              <w:rPr>
                <w:sz w:val="22"/>
                <w:szCs w:val="22"/>
              </w:rPr>
              <w:t>IFS</w:t>
            </w:r>
          </w:p>
          <w:p w:rsidR="00F6191F" w:rsidRDefault="00E5706D">
            <w:pPr>
              <w:pStyle w:val="ListParagraph"/>
              <w:ind w:left="0"/>
              <w:rPr>
                <w:b w:val="0"/>
                <w:bCs w:val="0"/>
                <w:sz w:val="22"/>
                <w:szCs w:val="22"/>
              </w:rPr>
            </w:pPr>
            <w:r>
              <w:rPr>
                <w:sz w:val="22"/>
                <w:szCs w:val="22"/>
              </w:rPr>
              <w:t>ECMWF</w:t>
            </w:r>
          </w:p>
        </w:tc>
        <w:tc>
          <w:tcPr>
            <w:tcW w:w="106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highlight w:val="yellow"/>
                <w:lang w:val="en-US" w:eastAsia="zh-CN"/>
              </w:rPr>
            </w:pPr>
            <w:r>
              <w:rPr>
                <w:rFonts w:hint="eastAsia"/>
                <w:sz w:val="22"/>
                <w:szCs w:val="22"/>
                <w:lang w:eastAsia="zh-CN"/>
              </w:rPr>
              <w:t>CAMS</w:t>
            </w:r>
          </w:p>
        </w:tc>
        <w:tc>
          <w:tcPr>
            <w:tcW w:w="108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Global</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On-line</w:t>
            </w:r>
          </w:p>
        </w:tc>
        <w:tc>
          <w:tcPr>
            <w:tcW w:w="153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Global</w:t>
            </w:r>
          </w:p>
        </w:tc>
        <w:tc>
          <w:tcPr>
            <w:tcW w:w="171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60 vertical levels</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T511  (40 km)</w:t>
            </w:r>
          </w:p>
        </w:tc>
        <w:tc>
          <w:tcPr>
            <w:tcW w:w="126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ECMWF-IFS</w:t>
            </w:r>
          </w:p>
        </w:tc>
        <w:tc>
          <w:tcPr>
            <w:tcW w:w="1298"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IC: previous forecast corrected by data assimilation (analysis)</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tc>
      </w:tr>
      <w:tr w:rsidR="00F6191F" w:rsidTr="00F6191F">
        <w:tc>
          <w:tcPr>
            <w:cnfStyle w:val="001000000000" w:firstRow="0" w:lastRow="0" w:firstColumn="1" w:lastColumn="0" w:oddVBand="0" w:evenVBand="0" w:oddHBand="0" w:evenHBand="0" w:firstRowFirstColumn="0" w:firstRowLastColumn="0" w:lastRowFirstColumn="0" w:lastRowLastColumn="0"/>
            <w:tcW w:w="1298" w:type="dxa"/>
          </w:tcPr>
          <w:p w:rsidR="00F6191F" w:rsidRDefault="00E5706D">
            <w:pPr>
              <w:pStyle w:val="ListParagraph"/>
              <w:ind w:left="0"/>
              <w:rPr>
                <w:b w:val="0"/>
                <w:bCs w:val="0"/>
                <w:sz w:val="22"/>
                <w:szCs w:val="22"/>
              </w:rPr>
            </w:pPr>
            <w:r>
              <w:rPr>
                <w:sz w:val="22"/>
                <w:szCs w:val="22"/>
              </w:rPr>
              <w:t>CHIMERE</w:t>
            </w:r>
          </w:p>
          <w:p w:rsidR="00F6191F" w:rsidRDefault="00E5706D">
            <w:pPr>
              <w:pStyle w:val="ListParagraph"/>
              <w:ind w:left="0"/>
              <w:rPr>
                <w:b w:val="0"/>
                <w:bCs w:val="0"/>
                <w:sz w:val="22"/>
                <w:szCs w:val="22"/>
              </w:rPr>
            </w:pPr>
            <w:r>
              <w:rPr>
                <w:sz w:val="22"/>
                <w:szCs w:val="22"/>
              </w:rPr>
              <w:t>KNMI</w:t>
            </w:r>
          </w:p>
        </w:tc>
        <w:tc>
          <w:tcPr>
            <w:tcW w:w="106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Version 2013b</w:t>
            </w:r>
          </w:p>
        </w:tc>
        <w:tc>
          <w:tcPr>
            <w:tcW w:w="108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Regional</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Off-line</w:t>
            </w:r>
          </w:p>
        </w:tc>
        <w:tc>
          <w:tcPr>
            <w:tcW w:w="153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18-50</w:t>
            </w:r>
            <w:r>
              <w:rPr>
                <w:sz w:val="22"/>
                <w:szCs w:val="22"/>
                <w:vertAlign w:val="superscript"/>
              </w:rPr>
              <w:t>0</w:t>
            </w:r>
            <w:r>
              <w:rPr>
                <w:sz w:val="22"/>
                <w:szCs w:val="22"/>
              </w:rPr>
              <w:t>N</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102-132</w:t>
            </w:r>
            <w:r>
              <w:rPr>
                <w:sz w:val="22"/>
                <w:szCs w:val="22"/>
                <w:vertAlign w:val="superscript"/>
              </w:rPr>
              <w:t>0</w:t>
            </w:r>
            <w:r>
              <w:rPr>
                <w:sz w:val="22"/>
                <w:szCs w:val="22"/>
              </w:rPr>
              <w:t>E</w:t>
            </w:r>
          </w:p>
        </w:tc>
        <w:tc>
          <w:tcPr>
            <w:tcW w:w="171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8 levels (surface to 500 hPa)</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0.25 degree</w:t>
            </w:r>
          </w:p>
        </w:tc>
        <w:tc>
          <w:tcPr>
            <w:tcW w:w="126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ECMWF operational data</w:t>
            </w:r>
          </w:p>
        </w:tc>
        <w:tc>
          <w:tcPr>
            <w:tcW w:w="1298"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IC: previous forecast</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BC: LMDz-INCA (gas and particles), GOCART (mineral dust)</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tc>
      </w:tr>
      <w:tr w:rsidR="00F6191F" w:rsidTr="00F6191F">
        <w:tc>
          <w:tcPr>
            <w:cnfStyle w:val="001000000000" w:firstRow="0" w:lastRow="0" w:firstColumn="1" w:lastColumn="0" w:oddVBand="0" w:evenVBand="0" w:oddHBand="0" w:evenHBand="0" w:firstRowFirstColumn="0" w:firstRowLastColumn="0" w:lastRowFirstColumn="0" w:lastRowLastColumn="0"/>
            <w:tcW w:w="1298" w:type="dxa"/>
          </w:tcPr>
          <w:p w:rsidR="00F6191F" w:rsidRDefault="00E5706D">
            <w:pPr>
              <w:pStyle w:val="ListParagraph"/>
              <w:ind w:left="0"/>
              <w:rPr>
                <w:b w:val="0"/>
                <w:bCs w:val="0"/>
                <w:sz w:val="22"/>
                <w:szCs w:val="22"/>
              </w:rPr>
            </w:pPr>
            <w:r>
              <w:rPr>
                <w:sz w:val="22"/>
                <w:szCs w:val="22"/>
              </w:rPr>
              <w:t>WRF-Chem-MPIM</w:t>
            </w:r>
          </w:p>
        </w:tc>
        <w:tc>
          <w:tcPr>
            <w:tcW w:w="106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Version 3.6</w:t>
            </w:r>
          </w:p>
        </w:tc>
        <w:tc>
          <w:tcPr>
            <w:tcW w:w="108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Regional</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On-line</w:t>
            </w:r>
          </w:p>
        </w:tc>
        <w:tc>
          <w:tcPr>
            <w:tcW w:w="153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Domain 1: 8S-51N</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59-152E</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Domain 2:</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18-45N</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95-125E</w:t>
            </w:r>
          </w:p>
        </w:tc>
        <w:tc>
          <w:tcPr>
            <w:tcW w:w="171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51 levels (surf. to 10 hPa)</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Domain 1:</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60 km x 60 km</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Domain 2:</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20 km x 20 km</w:t>
            </w:r>
          </w:p>
        </w:tc>
        <w:tc>
          <w:tcPr>
            <w:tcW w:w="126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NCEP-FNL</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6 hours </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vertAlign w:val="superscript"/>
              </w:rPr>
            </w:pPr>
            <w:r>
              <w:rPr>
                <w:sz w:val="22"/>
                <w:szCs w:val="22"/>
              </w:rPr>
              <w:t>1</w:t>
            </w:r>
            <w:r>
              <w:rPr>
                <w:sz w:val="22"/>
                <w:szCs w:val="22"/>
                <w:vertAlign w:val="superscript"/>
              </w:rPr>
              <w:t>0</w:t>
            </w:r>
            <w:r>
              <w:rPr>
                <w:sz w:val="22"/>
                <w:szCs w:val="22"/>
              </w:rPr>
              <w:t xml:space="preserve"> x 1</w:t>
            </w:r>
            <w:r>
              <w:rPr>
                <w:sz w:val="22"/>
                <w:szCs w:val="22"/>
                <w:vertAlign w:val="superscript"/>
              </w:rPr>
              <w:t>0</w:t>
            </w:r>
          </w:p>
        </w:tc>
        <w:tc>
          <w:tcPr>
            <w:tcW w:w="1298"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IC: previous forecast</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highlight w:val="yellow"/>
              </w:rPr>
            </w:pPr>
            <w:r>
              <w:rPr>
                <w:sz w:val="22"/>
                <w:szCs w:val="22"/>
              </w:rPr>
              <w:t>BC: IFS</w:t>
            </w:r>
          </w:p>
        </w:tc>
      </w:tr>
      <w:tr w:rsidR="00F6191F" w:rsidTr="00F6191F">
        <w:tc>
          <w:tcPr>
            <w:cnfStyle w:val="001000000000" w:firstRow="0" w:lastRow="0" w:firstColumn="1" w:lastColumn="0" w:oddVBand="0" w:evenVBand="0" w:oddHBand="0" w:evenHBand="0" w:firstRowFirstColumn="0" w:firstRowLastColumn="0" w:lastRowFirstColumn="0" w:lastRowLastColumn="0"/>
            <w:tcW w:w="1298" w:type="dxa"/>
          </w:tcPr>
          <w:p w:rsidR="00F6191F" w:rsidRDefault="00E5706D">
            <w:pPr>
              <w:pStyle w:val="ListParagraph"/>
              <w:ind w:left="0"/>
              <w:rPr>
                <w:b w:val="0"/>
                <w:bCs w:val="0"/>
                <w:sz w:val="22"/>
                <w:szCs w:val="22"/>
              </w:rPr>
            </w:pPr>
            <w:r>
              <w:rPr>
                <w:sz w:val="22"/>
                <w:szCs w:val="22"/>
              </w:rPr>
              <w:t>SILAM</w:t>
            </w:r>
          </w:p>
          <w:p w:rsidR="00F6191F" w:rsidRDefault="00E5706D">
            <w:pPr>
              <w:pStyle w:val="ListParagraph"/>
              <w:ind w:left="0"/>
              <w:rPr>
                <w:b w:val="0"/>
                <w:bCs w:val="0"/>
                <w:sz w:val="22"/>
                <w:szCs w:val="22"/>
              </w:rPr>
            </w:pPr>
            <w:r>
              <w:rPr>
                <w:sz w:val="22"/>
                <w:szCs w:val="22"/>
              </w:rPr>
              <w:t>FMI</w:t>
            </w:r>
          </w:p>
        </w:tc>
        <w:tc>
          <w:tcPr>
            <w:tcW w:w="106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Version 5.5</w:t>
            </w:r>
          </w:p>
        </w:tc>
        <w:tc>
          <w:tcPr>
            <w:tcW w:w="108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Regional</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Off-line</w:t>
            </w:r>
          </w:p>
        </w:tc>
        <w:tc>
          <w:tcPr>
            <w:tcW w:w="153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7-54N</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67-147E</w:t>
            </w:r>
          </w:p>
        </w:tc>
        <w:tc>
          <w:tcPr>
            <w:tcW w:w="171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14 hybrid sigma-pressure levels</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up to ~ 400hPa</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vertAlign w:val="superscript"/>
              </w:rPr>
            </w:pPr>
            <w:r>
              <w:rPr>
                <w:sz w:val="22"/>
                <w:szCs w:val="22"/>
              </w:rPr>
              <w:t>0.125</w:t>
            </w:r>
            <w:r>
              <w:rPr>
                <w:sz w:val="22"/>
                <w:szCs w:val="22"/>
                <w:vertAlign w:val="superscript"/>
              </w:rPr>
              <w:t>0</w:t>
            </w:r>
            <w:r>
              <w:rPr>
                <w:sz w:val="22"/>
                <w:szCs w:val="22"/>
              </w:rPr>
              <w:t xml:space="preserve"> x 0.125</w:t>
            </w:r>
            <w:r>
              <w:rPr>
                <w:sz w:val="22"/>
                <w:szCs w:val="22"/>
                <w:vertAlign w:val="superscript"/>
              </w:rPr>
              <w:t>0</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vertAlign w:val="superscript"/>
              </w:rPr>
            </w:pPr>
          </w:p>
        </w:tc>
        <w:tc>
          <w:tcPr>
            <w:tcW w:w="126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t xml:space="preserve"> </w:t>
            </w:r>
            <w:r>
              <w:rPr>
                <w:sz w:val="22"/>
                <w:szCs w:val="22"/>
              </w:rPr>
              <w:t>ECMWF-IFS</w:t>
            </w:r>
          </w:p>
        </w:tc>
        <w:tc>
          <w:tcPr>
            <w:tcW w:w="1298"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IC: previous forecast</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BC: Silam global forecast</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tc>
      </w:tr>
      <w:tr w:rsidR="00F6191F" w:rsidTr="00F6191F">
        <w:tc>
          <w:tcPr>
            <w:cnfStyle w:val="001000000000" w:firstRow="0" w:lastRow="0" w:firstColumn="1" w:lastColumn="0" w:oddVBand="0" w:evenVBand="0" w:oddHBand="0" w:evenHBand="0" w:firstRowFirstColumn="0" w:firstRowLastColumn="0" w:lastRowFirstColumn="0" w:lastRowLastColumn="0"/>
            <w:tcW w:w="1298" w:type="dxa"/>
          </w:tcPr>
          <w:p w:rsidR="00F6191F" w:rsidRDefault="00E5706D">
            <w:pPr>
              <w:pStyle w:val="ListParagraph"/>
              <w:ind w:left="0"/>
              <w:rPr>
                <w:b w:val="0"/>
                <w:bCs w:val="0"/>
                <w:sz w:val="22"/>
                <w:szCs w:val="22"/>
              </w:rPr>
            </w:pPr>
            <w:r>
              <w:rPr>
                <w:sz w:val="22"/>
                <w:szCs w:val="22"/>
              </w:rPr>
              <w:t>EMEP</w:t>
            </w:r>
          </w:p>
          <w:p w:rsidR="00F6191F" w:rsidRDefault="00E5706D">
            <w:pPr>
              <w:pStyle w:val="ListParagraph"/>
              <w:ind w:left="0"/>
              <w:rPr>
                <w:b w:val="0"/>
                <w:bCs w:val="0"/>
                <w:sz w:val="22"/>
                <w:szCs w:val="22"/>
              </w:rPr>
            </w:pPr>
            <w:r>
              <w:rPr>
                <w:sz w:val="22"/>
                <w:szCs w:val="22"/>
              </w:rPr>
              <w:lastRenderedPageBreak/>
              <w:t>MET Norway</w:t>
            </w:r>
          </w:p>
        </w:tc>
        <w:tc>
          <w:tcPr>
            <w:tcW w:w="106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lastRenderedPageBreak/>
              <w:t>Svn3064</w:t>
            </w:r>
          </w:p>
        </w:tc>
        <w:tc>
          <w:tcPr>
            <w:tcW w:w="108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Regional</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Off-line</w:t>
            </w:r>
          </w:p>
        </w:tc>
        <w:tc>
          <w:tcPr>
            <w:tcW w:w="153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15-55N</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90-135E</w:t>
            </w:r>
          </w:p>
        </w:tc>
        <w:tc>
          <w:tcPr>
            <w:tcW w:w="171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20 sigma levels (surf. to 50 hPa)</w:t>
            </w:r>
          </w:p>
        </w:tc>
        <w:tc>
          <w:tcPr>
            <w:tcW w:w="126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ECMWF-IFS</w:t>
            </w:r>
          </w:p>
        </w:tc>
        <w:tc>
          <w:tcPr>
            <w:tcW w:w="1298"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IC: previous forecast</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lastRenderedPageBreak/>
              <w:t>BC: ECMWF IFS (3-hourly)</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tc>
      </w:tr>
      <w:tr w:rsidR="00F6191F" w:rsidTr="00F6191F">
        <w:tc>
          <w:tcPr>
            <w:cnfStyle w:val="001000000000" w:firstRow="0" w:lastRow="0" w:firstColumn="1" w:lastColumn="0" w:oddVBand="0" w:evenVBand="0" w:oddHBand="0" w:evenHBand="0" w:firstRowFirstColumn="0" w:firstRowLastColumn="0" w:lastRowFirstColumn="0" w:lastRowLastColumn="0"/>
            <w:tcW w:w="1298" w:type="dxa"/>
          </w:tcPr>
          <w:p w:rsidR="00F6191F" w:rsidRDefault="00E5706D">
            <w:pPr>
              <w:pStyle w:val="ListParagraph"/>
              <w:ind w:left="0"/>
              <w:rPr>
                <w:b w:val="0"/>
                <w:bCs w:val="0"/>
                <w:sz w:val="22"/>
                <w:szCs w:val="22"/>
              </w:rPr>
            </w:pPr>
            <w:r>
              <w:rPr>
                <w:sz w:val="22"/>
                <w:szCs w:val="22"/>
              </w:rPr>
              <w:lastRenderedPageBreak/>
              <w:t>LOTOS-EUROS</w:t>
            </w:r>
          </w:p>
        </w:tc>
        <w:tc>
          <w:tcPr>
            <w:tcW w:w="106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Version 1.10</w:t>
            </w:r>
          </w:p>
        </w:tc>
        <w:tc>
          <w:tcPr>
            <w:tcW w:w="108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highlight w:val="yellow"/>
              </w:rPr>
            </w:pPr>
            <w:r>
              <w:rPr>
                <w:sz w:val="22"/>
                <w:szCs w:val="22"/>
              </w:rPr>
              <w:t>Regional</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Off-line</w:t>
            </w:r>
          </w:p>
        </w:tc>
        <w:tc>
          <w:tcPr>
            <w:tcW w:w="153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val="fr-FR"/>
              </w:rPr>
            </w:pPr>
            <w:r>
              <w:rPr>
                <w:sz w:val="22"/>
                <w:szCs w:val="22"/>
                <w:lang w:val="fr-FR"/>
              </w:rPr>
              <w:t>Domain 1:</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val="fr-FR"/>
              </w:rPr>
            </w:pPr>
            <w:r>
              <w:rPr>
                <w:sz w:val="22"/>
                <w:szCs w:val="22"/>
                <w:lang w:val="fr-FR"/>
              </w:rPr>
              <w:t>15-50 N</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val="fr-FR"/>
              </w:rPr>
            </w:pPr>
            <w:r>
              <w:rPr>
                <w:sz w:val="22"/>
                <w:szCs w:val="22"/>
                <w:lang w:val="fr-FR"/>
              </w:rPr>
              <w:t>71-139 E</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val="fr-FR"/>
              </w:rPr>
            </w:pP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val="fr-FR"/>
              </w:rPr>
            </w:pPr>
            <w:r>
              <w:rPr>
                <w:sz w:val="22"/>
                <w:szCs w:val="22"/>
                <w:lang w:val="fr-FR"/>
              </w:rPr>
              <w:t>Domain 2:</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val="fr-FR"/>
              </w:rPr>
            </w:pPr>
            <w:r>
              <w:rPr>
                <w:sz w:val="22"/>
                <w:szCs w:val="22"/>
                <w:lang w:val="fr-FR"/>
              </w:rPr>
              <w:t>20-45N</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lang w:val="fr-FR"/>
              </w:rPr>
              <w:t>105-130</w:t>
            </w:r>
            <w:r>
              <w:rPr>
                <w:sz w:val="22"/>
                <w:szCs w:val="22"/>
                <w:vertAlign w:val="superscript"/>
                <w:lang w:val="fr-FR"/>
              </w:rPr>
              <w:t>E</w:t>
            </w:r>
          </w:p>
        </w:tc>
        <w:tc>
          <w:tcPr>
            <w:tcW w:w="171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5 layers (surf. to 5 km)</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Domain 1:</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vertAlign w:val="superscript"/>
              </w:rPr>
            </w:pPr>
            <w:r>
              <w:rPr>
                <w:sz w:val="22"/>
                <w:szCs w:val="22"/>
              </w:rPr>
              <w:t>0.5</w:t>
            </w:r>
            <w:r>
              <w:rPr>
                <w:sz w:val="22"/>
                <w:szCs w:val="22"/>
                <w:vertAlign w:val="superscript"/>
              </w:rPr>
              <w:t>0</w:t>
            </w:r>
            <w:r>
              <w:rPr>
                <w:sz w:val="22"/>
                <w:szCs w:val="22"/>
              </w:rPr>
              <w:t xml:space="preserve"> x 0.25</w:t>
            </w:r>
            <w:r>
              <w:rPr>
                <w:sz w:val="22"/>
                <w:szCs w:val="22"/>
                <w:vertAlign w:val="superscript"/>
              </w:rPr>
              <w:t>0</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vertAlign w:val="superscript"/>
              </w:rPr>
            </w:pP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Domain 2:</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vertAlign w:val="superscript"/>
              </w:rPr>
            </w:pPr>
            <w:r>
              <w:rPr>
                <w:sz w:val="22"/>
                <w:szCs w:val="22"/>
              </w:rPr>
              <w:t>0.25</w:t>
            </w:r>
            <w:r>
              <w:rPr>
                <w:sz w:val="22"/>
                <w:szCs w:val="22"/>
                <w:vertAlign w:val="superscript"/>
              </w:rPr>
              <w:t>0</w:t>
            </w:r>
            <w:r>
              <w:rPr>
                <w:sz w:val="22"/>
                <w:szCs w:val="22"/>
              </w:rPr>
              <w:t xml:space="preserve"> x 0.125</w:t>
            </w:r>
            <w:r>
              <w:rPr>
                <w:sz w:val="22"/>
                <w:szCs w:val="22"/>
                <w:vertAlign w:val="superscript"/>
              </w:rPr>
              <w:t>0</w:t>
            </w:r>
          </w:p>
        </w:tc>
        <w:tc>
          <w:tcPr>
            <w:tcW w:w="126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ECMWF-IFS</w:t>
            </w:r>
          </w:p>
        </w:tc>
        <w:tc>
          <w:tcPr>
            <w:tcW w:w="1298"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IC: previous forecast</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BC: CAMS C-IFS (3-hourly)</w:t>
            </w:r>
          </w:p>
        </w:tc>
      </w:tr>
      <w:tr w:rsidR="00F6191F" w:rsidTr="00F6191F">
        <w:tc>
          <w:tcPr>
            <w:cnfStyle w:val="001000000000" w:firstRow="0" w:lastRow="0" w:firstColumn="1" w:lastColumn="0" w:oddVBand="0" w:evenVBand="0" w:oddHBand="0" w:evenHBand="0" w:firstRowFirstColumn="0" w:firstRowLastColumn="0" w:lastRowFirstColumn="0" w:lastRowLastColumn="0"/>
            <w:tcW w:w="1298" w:type="dxa"/>
          </w:tcPr>
          <w:p w:rsidR="00F6191F" w:rsidRDefault="00E5706D">
            <w:pPr>
              <w:pStyle w:val="ListParagraph"/>
              <w:ind w:left="0"/>
              <w:rPr>
                <w:b w:val="0"/>
                <w:bCs w:val="0"/>
                <w:sz w:val="22"/>
                <w:szCs w:val="22"/>
              </w:rPr>
            </w:pPr>
            <w:r>
              <w:rPr>
                <w:sz w:val="22"/>
                <w:szCs w:val="22"/>
              </w:rPr>
              <w:t>WRF-Chem</w:t>
            </w:r>
          </w:p>
          <w:p w:rsidR="00F6191F" w:rsidRDefault="00E5706D">
            <w:pPr>
              <w:pStyle w:val="ListParagraph"/>
              <w:ind w:left="0"/>
              <w:rPr>
                <w:b w:val="0"/>
                <w:bCs w:val="0"/>
                <w:sz w:val="22"/>
                <w:szCs w:val="22"/>
              </w:rPr>
            </w:pPr>
            <w:r>
              <w:rPr>
                <w:sz w:val="22"/>
                <w:szCs w:val="22"/>
              </w:rPr>
              <w:t>SMS</w:t>
            </w:r>
          </w:p>
        </w:tc>
        <w:tc>
          <w:tcPr>
            <w:tcW w:w="106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Version 3.2</w:t>
            </w:r>
          </w:p>
        </w:tc>
        <w:tc>
          <w:tcPr>
            <w:tcW w:w="108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Regional</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On-line</w:t>
            </w:r>
          </w:p>
        </w:tc>
        <w:tc>
          <w:tcPr>
            <w:tcW w:w="153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20-44N</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110-126E</w:t>
            </w:r>
          </w:p>
        </w:tc>
        <w:tc>
          <w:tcPr>
            <w:tcW w:w="171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28 vertical layers (surf. to 50 hPa)</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 km</w:t>
            </w:r>
          </w:p>
        </w:tc>
        <w:tc>
          <w:tcPr>
            <w:tcW w:w="126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NCEP GFS</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6 hours </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0.5</w:t>
            </w:r>
            <w:r>
              <w:rPr>
                <w:sz w:val="22"/>
                <w:szCs w:val="22"/>
                <w:vertAlign w:val="superscript"/>
              </w:rPr>
              <w:t>0</w:t>
            </w:r>
            <w:r>
              <w:rPr>
                <w:sz w:val="22"/>
                <w:szCs w:val="22"/>
              </w:rPr>
              <w:t xml:space="preserve"> x 0.5</w:t>
            </w:r>
            <w:r>
              <w:rPr>
                <w:sz w:val="22"/>
                <w:szCs w:val="22"/>
                <w:vertAlign w:val="superscript"/>
              </w:rPr>
              <w:t>0</w:t>
            </w:r>
          </w:p>
        </w:tc>
        <w:tc>
          <w:tcPr>
            <w:tcW w:w="1298"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IC: Previous run</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rPr>
              <w:t>BC: MOZART monthly averages</w:t>
            </w:r>
            <w:r>
              <w:rPr>
                <w:rFonts w:hint="eastAsia"/>
                <w:sz w:val="22"/>
                <w:szCs w:val="22"/>
                <w:lang w:eastAsia="zh-CN"/>
              </w:rPr>
              <w:t xml:space="preserve"> for </w:t>
            </w:r>
            <w:r>
              <w:rPr>
                <w:sz w:val="22"/>
                <w:szCs w:val="22"/>
              </w:rPr>
              <w:t>2009</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tc>
      </w:tr>
      <w:tr w:rsidR="00F6191F" w:rsidTr="00F6191F">
        <w:tc>
          <w:tcPr>
            <w:cnfStyle w:val="001000000000" w:firstRow="0" w:lastRow="0" w:firstColumn="1" w:lastColumn="0" w:oddVBand="0" w:evenVBand="0" w:oddHBand="0" w:evenHBand="0" w:firstRowFirstColumn="0" w:firstRowLastColumn="0" w:lastRowFirstColumn="0" w:lastRowLastColumn="0"/>
            <w:tcW w:w="1298" w:type="dxa"/>
          </w:tcPr>
          <w:p w:rsidR="00F6191F" w:rsidRDefault="00E5706D">
            <w:pPr>
              <w:pStyle w:val="ListParagraph"/>
              <w:ind w:left="0"/>
              <w:rPr>
                <w:b w:val="0"/>
                <w:bCs w:val="0"/>
                <w:sz w:val="22"/>
                <w:szCs w:val="22"/>
              </w:rPr>
            </w:pPr>
            <w:r>
              <w:rPr>
                <w:sz w:val="22"/>
                <w:szCs w:val="22"/>
              </w:rPr>
              <w:t>WRF-CMAQ</w:t>
            </w:r>
          </w:p>
          <w:p w:rsidR="00F6191F" w:rsidRDefault="00E5706D">
            <w:pPr>
              <w:pStyle w:val="ListParagraph"/>
              <w:ind w:left="0"/>
              <w:rPr>
                <w:b w:val="0"/>
                <w:bCs w:val="0"/>
                <w:sz w:val="22"/>
                <w:szCs w:val="22"/>
              </w:rPr>
            </w:pPr>
            <w:r>
              <w:rPr>
                <w:sz w:val="22"/>
                <w:szCs w:val="22"/>
              </w:rPr>
              <w:t>NJU</w:t>
            </w:r>
          </w:p>
        </w:tc>
        <w:tc>
          <w:tcPr>
            <w:tcW w:w="106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pPr>
            <w:r>
              <w:rPr>
                <w:rFonts w:hint="eastAsia"/>
                <w:sz w:val="22"/>
                <w:szCs w:val="22"/>
                <w:lang w:eastAsia="zh-CN"/>
              </w:rPr>
              <w:t>WRF</w:t>
            </w:r>
            <w:r>
              <w:rPr>
                <w:rFonts w:hint="eastAsia"/>
              </w:rPr>
              <w:t>v3.5</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rFonts w:hint="eastAsia"/>
              </w:rPr>
              <w:t>CMAQ</w:t>
            </w:r>
            <w:r>
              <w:rPr>
                <w:rFonts w:hint="eastAsia"/>
                <w:sz w:val="22"/>
                <w:szCs w:val="22"/>
                <w:lang w:eastAsia="zh-CN"/>
              </w:rPr>
              <w:t>v</w:t>
            </w:r>
            <w:r>
              <w:rPr>
                <w:sz w:val="22"/>
                <w:szCs w:val="22"/>
              </w:rPr>
              <w:t>4.7.1</w:t>
            </w:r>
          </w:p>
        </w:tc>
        <w:tc>
          <w:tcPr>
            <w:tcW w:w="108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Regional</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O</w:t>
            </w:r>
            <w:r>
              <w:rPr>
                <w:sz w:val="22"/>
                <w:szCs w:val="22"/>
                <w:lang w:eastAsia="zh-CN"/>
              </w:rPr>
              <w:t>ff</w:t>
            </w:r>
            <w:r>
              <w:rPr>
                <w:sz w:val="22"/>
                <w:szCs w:val="22"/>
              </w:rPr>
              <w:t>-line</w:t>
            </w:r>
          </w:p>
        </w:tc>
        <w:tc>
          <w:tcPr>
            <w:tcW w:w="153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Domain 1: 18-52N, 78-136E</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Domain 2: 21-44N, 102-125E</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tc>
        <w:tc>
          <w:tcPr>
            <w:tcW w:w="171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 xml:space="preserve">Domain 1: 36 km </w:t>
            </w:r>
            <w:r>
              <w:rPr>
                <w:sz w:val="22"/>
                <w:szCs w:val="22"/>
              </w:rPr>
              <w:t>x</w:t>
            </w:r>
            <w:r>
              <w:rPr>
                <w:sz w:val="22"/>
                <w:szCs w:val="22"/>
                <w:lang w:eastAsia="zh-CN"/>
              </w:rPr>
              <w:t xml:space="preserve"> </w:t>
            </w:r>
            <w:r>
              <w:rPr>
                <w:rFonts w:hint="eastAsia"/>
                <w:sz w:val="22"/>
                <w:szCs w:val="22"/>
                <w:lang w:eastAsia="zh-CN"/>
              </w:rPr>
              <w:t>36 km</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 xml:space="preserve">Domain 2: 12 km </w:t>
            </w:r>
            <w:r>
              <w:rPr>
                <w:sz w:val="22"/>
                <w:szCs w:val="22"/>
              </w:rPr>
              <w:t>x</w:t>
            </w:r>
            <w:r>
              <w:rPr>
                <w:sz w:val="22"/>
                <w:szCs w:val="22"/>
                <w:lang w:eastAsia="zh-CN"/>
              </w:rPr>
              <w:t xml:space="preserve"> </w:t>
            </w:r>
            <w:r>
              <w:rPr>
                <w:rFonts w:hint="eastAsia"/>
                <w:sz w:val="22"/>
                <w:szCs w:val="22"/>
                <w:lang w:eastAsia="zh-CN"/>
              </w:rPr>
              <w:t>12 km</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 xml:space="preserve">WRF: 51 </w:t>
            </w:r>
            <w:r>
              <w:rPr>
                <w:sz w:val="22"/>
                <w:szCs w:val="22"/>
                <w:lang w:eastAsia="zh-CN"/>
              </w:rPr>
              <w:t>sigma levels</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 xml:space="preserve">CMAQ: </w:t>
            </w:r>
            <w:r>
              <w:rPr>
                <w:sz w:val="22"/>
                <w:szCs w:val="22"/>
                <w:lang w:eastAsia="zh-CN"/>
              </w:rPr>
              <w:t>15 sigma levels</w:t>
            </w:r>
          </w:p>
        </w:tc>
        <w:tc>
          <w:tcPr>
            <w:tcW w:w="1260"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NCEP GFS</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lang w:eastAsia="zh-CN"/>
              </w:rPr>
              <w:t>3</w:t>
            </w:r>
            <w:r>
              <w:rPr>
                <w:sz w:val="22"/>
                <w:szCs w:val="22"/>
              </w:rPr>
              <w:t xml:space="preserve"> hours </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0.5</w:t>
            </w:r>
            <w:r>
              <w:rPr>
                <w:sz w:val="22"/>
                <w:szCs w:val="22"/>
                <w:vertAlign w:val="superscript"/>
              </w:rPr>
              <w:t>0</w:t>
            </w:r>
            <w:r>
              <w:rPr>
                <w:sz w:val="22"/>
                <w:szCs w:val="22"/>
              </w:rPr>
              <w:t xml:space="preserve"> x 0.5</w:t>
            </w:r>
            <w:r>
              <w:rPr>
                <w:sz w:val="22"/>
                <w:szCs w:val="22"/>
                <w:vertAlign w:val="superscript"/>
              </w:rPr>
              <w:t>0</w:t>
            </w:r>
          </w:p>
        </w:tc>
        <w:tc>
          <w:tcPr>
            <w:tcW w:w="1298"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rPr>
              <w:t>IC:</w:t>
            </w:r>
            <w:r>
              <w:rPr>
                <w:rFonts w:hint="eastAsia"/>
                <w:sz w:val="22"/>
                <w:szCs w:val="22"/>
                <w:lang w:eastAsia="zh-CN"/>
              </w:rPr>
              <w:t xml:space="preserve"> </w:t>
            </w:r>
            <w:r>
              <w:rPr>
                <w:sz w:val="22"/>
                <w:szCs w:val="22"/>
              </w:rPr>
              <w:t>Previous run</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rPr>
              <w:t>BC:</w:t>
            </w:r>
            <w:r>
              <w:rPr>
                <w:rFonts w:hint="eastAsia"/>
                <w:sz w:val="22"/>
                <w:szCs w:val="22"/>
                <w:lang w:eastAsia="zh-CN"/>
              </w:rPr>
              <w:t xml:space="preserve"> </w:t>
            </w:r>
            <w:r>
              <w:rPr>
                <w:sz w:val="22"/>
                <w:szCs w:val="22"/>
              </w:rPr>
              <w:t>CMAQ default vertical profile</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tc>
      </w:tr>
      <w:tr w:rsidR="00F6191F" w:rsidTr="00F6191F">
        <w:tc>
          <w:tcPr>
            <w:cnfStyle w:val="001000000000" w:firstRow="0" w:lastRow="0" w:firstColumn="1" w:lastColumn="0" w:oddVBand="0" w:evenVBand="0" w:oddHBand="0" w:evenHBand="0" w:firstRowFirstColumn="0" w:firstRowLastColumn="0" w:lastRowFirstColumn="0" w:lastRowLastColumn="0"/>
            <w:tcW w:w="1298" w:type="dxa"/>
          </w:tcPr>
          <w:p w:rsidR="00F6191F" w:rsidRDefault="00E5706D">
            <w:pPr>
              <w:pStyle w:val="ListParagraph"/>
              <w:ind w:left="0"/>
              <w:rPr>
                <w:b w:val="0"/>
                <w:bCs w:val="0"/>
                <w:sz w:val="22"/>
                <w:szCs w:val="22"/>
              </w:rPr>
            </w:pPr>
            <w:r>
              <w:rPr>
                <w:sz w:val="22"/>
                <w:szCs w:val="22"/>
              </w:rPr>
              <w:t>WARMS-CMAQ</w:t>
            </w:r>
          </w:p>
          <w:p w:rsidR="00F6191F" w:rsidRDefault="00E5706D">
            <w:pPr>
              <w:pStyle w:val="ListParagraph"/>
              <w:ind w:left="0"/>
              <w:rPr>
                <w:b w:val="0"/>
                <w:bCs w:val="0"/>
                <w:sz w:val="22"/>
                <w:szCs w:val="22"/>
              </w:rPr>
            </w:pPr>
            <w:r>
              <w:rPr>
                <w:sz w:val="22"/>
                <w:szCs w:val="22"/>
              </w:rPr>
              <w:t>SMS</w:t>
            </w:r>
          </w:p>
        </w:tc>
        <w:tc>
          <w:tcPr>
            <w:tcW w:w="106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Version 5.0.2</w:t>
            </w:r>
          </w:p>
        </w:tc>
        <w:tc>
          <w:tcPr>
            <w:tcW w:w="108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Regional</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Off-line</w:t>
            </w:r>
          </w:p>
        </w:tc>
        <w:tc>
          <w:tcPr>
            <w:tcW w:w="153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14-53 N</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100-144 E</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highlight w:val="yellow"/>
              </w:rPr>
            </w:pPr>
          </w:p>
        </w:tc>
        <w:tc>
          <w:tcPr>
            <w:tcW w:w="171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26 sigma levels (from surf. to 50 hPa)</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highlight w:val="yellow"/>
              </w:rPr>
            </w:pPr>
            <w:r>
              <w:rPr>
                <w:sz w:val="22"/>
                <w:szCs w:val="22"/>
              </w:rPr>
              <w:t>9 km</w:t>
            </w:r>
          </w:p>
        </w:tc>
        <w:tc>
          <w:tcPr>
            <w:tcW w:w="1260"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NCEP GFS</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6 hours </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highlight w:val="yellow"/>
              </w:rPr>
            </w:pPr>
            <w:r>
              <w:rPr>
                <w:sz w:val="22"/>
                <w:szCs w:val="22"/>
              </w:rPr>
              <w:t>0.5</w:t>
            </w:r>
            <w:r>
              <w:rPr>
                <w:sz w:val="22"/>
                <w:szCs w:val="22"/>
                <w:vertAlign w:val="superscript"/>
              </w:rPr>
              <w:t>0</w:t>
            </w:r>
            <w:r>
              <w:rPr>
                <w:sz w:val="22"/>
                <w:szCs w:val="22"/>
              </w:rPr>
              <w:t xml:space="preserve"> x 0.5</w:t>
            </w:r>
            <w:r>
              <w:rPr>
                <w:sz w:val="22"/>
                <w:szCs w:val="22"/>
                <w:vertAlign w:val="superscript"/>
              </w:rPr>
              <w:t>0</w:t>
            </w:r>
          </w:p>
        </w:tc>
        <w:tc>
          <w:tcPr>
            <w:tcW w:w="1298"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IC: Previous run</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BC: CMAQ default vertical profile </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highlight w:val="yellow"/>
              </w:rPr>
            </w:pPr>
          </w:p>
        </w:tc>
      </w:tr>
    </w:tbl>
    <w:p w:rsidR="00F6191F" w:rsidRDefault="00F6191F">
      <w:pPr>
        <w:pStyle w:val="ListParagraph"/>
        <w:ind w:left="0"/>
        <w:rPr>
          <w:b/>
        </w:rPr>
      </w:pPr>
    </w:p>
    <w:p w:rsidR="00F6191F" w:rsidRDefault="00F6191F">
      <w:pPr>
        <w:pStyle w:val="ListParagraph"/>
        <w:ind w:left="0"/>
        <w:rPr>
          <w:b/>
        </w:rPr>
      </w:pPr>
    </w:p>
    <w:p w:rsidR="00F6191F" w:rsidRDefault="00F6191F">
      <w:pPr>
        <w:pStyle w:val="ListParagraph"/>
        <w:ind w:left="0"/>
        <w:rPr>
          <w:b/>
        </w:rPr>
      </w:pPr>
    </w:p>
    <w:p w:rsidR="00F6191F" w:rsidRDefault="00E5706D">
      <w:pPr>
        <w:pStyle w:val="ListParagraph"/>
        <w:ind w:left="0"/>
        <w:rPr>
          <w:b/>
        </w:rPr>
      </w:pPr>
      <w:r>
        <w:rPr>
          <w:b/>
        </w:rPr>
        <w:t>Table 2b.  Continued</w:t>
      </w:r>
    </w:p>
    <w:p w:rsidR="00F6191F" w:rsidRDefault="00F6191F">
      <w:pPr>
        <w:pStyle w:val="ListParagraph"/>
        <w:ind w:left="0"/>
        <w:rPr>
          <w:b/>
        </w:rPr>
      </w:pPr>
    </w:p>
    <w:tbl>
      <w:tblPr>
        <w:tblStyle w:val="MediumShading2-Accent1"/>
        <w:tblW w:w="9180" w:type="dxa"/>
        <w:tblLayout w:type="fixed"/>
        <w:tblLook w:val="04A0" w:firstRow="1" w:lastRow="0" w:firstColumn="1" w:lastColumn="0" w:noHBand="0" w:noVBand="1"/>
      </w:tblPr>
      <w:tblGrid>
        <w:gridCol w:w="1400"/>
        <w:gridCol w:w="1584"/>
        <w:gridCol w:w="1584"/>
        <w:gridCol w:w="1585"/>
        <w:gridCol w:w="1584"/>
        <w:gridCol w:w="1443"/>
      </w:tblGrid>
      <w:tr w:rsidR="00F6191F" w:rsidTr="00F6191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00" w:type="dxa"/>
          </w:tcPr>
          <w:p w:rsidR="00F6191F" w:rsidRDefault="00E5706D">
            <w:pPr>
              <w:pStyle w:val="ListParagraph"/>
              <w:ind w:left="0"/>
              <w:rPr>
                <w:bCs w:val="0"/>
                <w:sz w:val="22"/>
                <w:szCs w:val="22"/>
              </w:rPr>
            </w:pPr>
            <w:r>
              <w:rPr>
                <w:sz w:val="22"/>
                <w:szCs w:val="22"/>
              </w:rPr>
              <w:t>Model and Institution</w:t>
            </w:r>
          </w:p>
        </w:tc>
        <w:tc>
          <w:tcPr>
            <w:tcW w:w="1584"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 w:val="0"/>
                <w:bCs w:val="0"/>
                <w:sz w:val="22"/>
                <w:szCs w:val="22"/>
              </w:rPr>
            </w:pPr>
            <w:r>
              <w:rPr>
                <w:sz w:val="22"/>
                <w:szCs w:val="22"/>
              </w:rPr>
              <w:t xml:space="preserve">PBL </w:t>
            </w:r>
          </w:p>
          <w:p w:rsidR="00F6191F" w:rsidRDefault="00F6191F">
            <w:pPr>
              <w:pStyle w:val="ListParagraph"/>
              <w:ind w:left="0"/>
              <w:cnfStyle w:val="100000000000" w:firstRow="1" w:lastRow="0" w:firstColumn="0" w:lastColumn="0" w:oddVBand="0" w:evenVBand="0" w:oddHBand="0" w:evenHBand="0" w:firstRowFirstColumn="0" w:firstRowLastColumn="0" w:lastRowFirstColumn="0" w:lastRowLastColumn="0"/>
              <w:rPr>
                <w:b w:val="0"/>
                <w:bCs w:val="0"/>
                <w:sz w:val="22"/>
                <w:szCs w:val="22"/>
              </w:rPr>
            </w:pPr>
          </w:p>
        </w:tc>
        <w:tc>
          <w:tcPr>
            <w:tcW w:w="1584"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Cs w:val="0"/>
                <w:sz w:val="22"/>
                <w:szCs w:val="22"/>
              </w:rPr>
            </w:pPr>
            <w:r>
              <w:rPr>
                <w:sz w:val="22"/>
                <w:szCs w:val="22"/>
              </w:rPr>
              <w:t>Land-Use</w:t>
            </w:r>
          </w:p>
        </w:tc>
        <w:tc>
          <w:tcPr>
            <w:tcW w:w="1585"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Cs w:val="0"/>
                <w:sz w:val="22"/>
                <w:szCs w:val="22"/>
              </w:rPr>
            </w:pPr>
            <w:r>
              <w:rPr>
                <w:sz w:val="22"/>
                <w:szCs w:val="22"/>
              </w:rPr>
              <w:t>Deposition</w:t>
            </w:r>
          </w:p>
        </w:tc>
        <w:tc>
          <w:tcPr>
            <w:tcW w:w="1584"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Cs w:val="0"/>
                <w:sz w:val="22"/>
                <w:szCs w:val="22"/>
              </w:rPr>
            </w:pPr>
            <w:r>
              <w:rPr>
                <w:sz w:val="22"/>
                <w:szCs w:val="22"/>
              </w:rPr>
              <w:t>Chemistry</w:t>
            </w:r>
          </w:p>
        </w:tc>
        <w:tc>
          <w:tcPr>
            <w:tcW w:w="1443"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Cs w:val="0"/>
                <w:sz w:val="22"/>
                <w:szCs w:val="22"/>
                <w:lang w:eastAsia="zh-CN"/>
              </w:rPr>
            </w:pPr>
            <w:r>
              <w:rPr>
                <w:sz w:val="22"/>
                <w:szCs w:val="22"/>
                <w:lang w:eastAsia="zh-CN"/>
              </w:rPr>
              <w:t>Data Assimilation</w:t>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IFS</w:t>
            </w:r>
          </w:p>
          <w:p w:rsidR="00F6191F" w:rsidRDefault="00E5706D">
            <w:pPr>
              <w:pStyle w:val="ListParagraph"/>
              <w:ind w:left="0"/>
              <w:rPr>
                <w:b w:val="0"/>
                <w:bCs w:val="0"/>
                <w:sz w:val="22"/>
                <w:szCs w:val="22"/>
              </w:rPr>
            </w:pPr>
            <w:r>
              <w:rPr>
                <w:sz w:val="22"/>
                <w:szCs w:val="22"/>
              </w:rPr>
              <w:t>ECMWF</w:t>
            </w:r>
          </w:p>
        </w:tc>
        <w:tc>
          <w:tcPr>
            <w:tcW w:w="1584"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IFS PBL scheme</w:t>
            </w:r>
          </w:p>
        </w:tc>
        <w:tc>
          <w:tcPr>
            <w:tcW w:w="1584"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IFS-Land use</w:t>
            </w:r>
          </w:p>
        </w:tc>
        <w:tc>
          <w:tcPr>
            <w:tcW w:w="1585"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Dry: Resistance</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Wet: in-cloud and below cloud scavenging and evaporation</w:t>
            </w:r>
          </w:p>
        </w:tc>
        <w:tc>
          <w:tcPr>
            <w:tcW w:w="1584"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Gas: CB05</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Aerosol: LMDz/MACC</w:t>
            </w:r>
          </w:p>
        </w:tc>
        <w:tc>
          <w:tcPr>
            <w:tcW w:w="1443"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yes</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(O</w:t>
            </w:r>
            <w:r>
              <w:rPr>
                <w:sz w:val="22"/>
                <w:szCs w:val="22"/>
                <w:vertAlign w:val="subscript"/>
                <w:lang w:eastAsia="zh-CN"/>
              </w:rPr>
              <w:t>3</w:t>
            </w:r>
            <w:r>
              <w:rPr>
                <w:sz w:val="22"/>
                <w:szCs w:val="22"/>
                <w:lang w:eastAsia="zh-CN"/>
              </w:rPr>
              <w:t>,CO,NO</w:t>
            </w:r>
            <w:r>
              <w:rPr>
                <w:sz w:val="22"/>
                <w:szCs w:val="22"/>
                <w:vertAlign w:val="subscript"/>
                <w:lang w:eastAsia="zh-CN"/>
              </w:rPr>
              <w:t>2</w:t>
            </w:r>
            <w:r>
              <w:rPr>
                <w:sz w:val="22"/>
                <w:szCs w:val="22"/>
                <w:lang w:eastAsia="zh-CN"/>
              </w:rPr>
              <w:t>,</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SO</w:t>
            </w:r>
            <w:r>
              <w:rPr>
                <w:sz w:val="22"/>
                <w:szCs w:val="22"/>
                <w:vertAlign w:val="subscript"/>
                <w:lang w:eastAsia="zh-CN"/>
              </w:rPr>
              <w:t>2</w:t>
            </w:r>
            <w:r>
              <w:rPr>
                <w:sz w:val="22"/>
                <w:szCs w:val="22"/>
                <w:lang w:eastAsia="zh-CN"/>
              </w:rPr>
              <w:t>,HCHO)</w:t>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lastRenderedPageBreak/>
              <w:t>CHIMERE</w:t>
            </w:r>
          </w:p>
          <w:p w:rsidR="00F6191F" w:rsidRDefault="00E5706D">
            <w:pPr>
              <w:pStyle w:val="ListParagraph"/>
              <w:ind w:left="0"/>
              <w:rPr>
                <w:b w:val="0"/>
                <w:bCs w:val="0"/>
                <w:sz w:val="22"/>
                <w:szCs w:val="22"/>
              </w:rPr>
            </w:pPr>
            <w:r>
              <w:rPr>
                <w:sz w:val="22"/>
                <w:szCs w:val="22"/>
              </w:rPr>
              <w:t>KNMI</w:t>
            </w:r>
          </w:p>
        </w:tc>
        <w:tc>
          <w:tcPr>
            <w:tcW w:w="1584"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rPr>
              <w:t>bulk Richardson number (Menut et al., 2013)</w:t>
            </w:r>
            <w:r>
              <w:rPr>
                <w:sz w:val="22"/>
                <w:szCs w:val="22"/>
                <w:highlight w:val="yellow"/>
              </w:rPr>
              <w:t xml:space="preserve"> </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p>
        </w:tc>
        <w:tc>
          <w:tcPr>
            <w:tcW w:w="1584"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GlobCover LandCover verion 2.3, 2009</w:t>
            </w:r>
          </w:p>
        </w:tc>
        <w:tc>
          <w:tcPr>
            <w:tcW w:w="1585" w:type="dxa"/>
          </w:tcPr>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Dry: Resistance</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Wet: in-cloud and below cloud scavenging</w:t>
            </w:r>
          </w:p>
        </w:tc>
        <w:tc>
          <w:tcPr>
            <w:tcW w:w="1584"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iCs/>
                <w:color w:val="000000" w:themeColor="text1"/>
                <w:sz w:val="22"/>
                <w:szCs w:val="22"/>
                <w:lang w:eastAsia="zh-CN"/>
              </w:rPr>
            </w:pPr>
            <w:r>
              <w:rPr>
                <w:sz w:val="22"/>
                <w:szCs w:val="22"/>
                <w:lang w:eastAsia="zh-CN"/>
              </w:rPr>
              <w:t>gas:</w:t>
            </w:r>
            <w:r>
              <w:rPr>
                <w:iCs/>
                <w:color w:val="000000" w:themeColor="text1"/>
                <w:sz w:val="22"/>
                <w:szCs w:val="22"/>
              </w:rPr>
              <w:t xml:space="preserve"> MELCHIOR2</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iCs/>
                <w:color w:val="000000" w:themeColor="text1"/>
                <w:sz w:val="22"/>
                <w:szCs w:val="22"/>
                <w:lang w:eastAsia="zh-CN"/>
              </w:rPr>
              <w:t>aerosol: Schemes for nucleation, absorption(ISORROPIA), and coagulation</w:t>
            </w:r>
          </w:p>
        </w:tc>
        <w:tc>
          <w:tcPr>
            <w:tcW w:w="1443"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no</w:t>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WRF-Chem-MPIM</w:t>
            </w:r>
          </w:p>
        </w:tc>
        <w:tc>
          <w:tcPr>
            <w:tcW w:w="1584"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YSU</w:t>
            </w:r>
          </w:p>
        </w:tc>
        <w:tc>
          <w:tcPr>
            <w:tcW w:w="1584"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MODIS</w:t>
            </w:r>
          </w:p>
        </w:tc>
        <w:tc>
          <w:tcPr>
            <w:tcW w:w="1585"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Dry: Resistance</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Wet: in-cloud</w:t>
            </w:r>
            <w:r>
              <w:rPr>
                <w:rFonts w:hint="eastAsia"/>
                <w:sz w:val="22"/>
                <w:szCs w:val="22"/>
                <w:lang w:eastAsia="zh-CN"/>
              </w:rPr>
              <w:t xml:space="preserve"> </w:t>
            </w:r>
            <w:r>
              <w:rPr>
                <w:sz w:val="22"/>
                <w:szCs w:val="22"/>
              </w:rPr>
              <w:t>scavenging</w:t>
            </w:r>
          </w:p>
        </w:tc>
        <w:tc>
          <w:tcPr>
            <w:tcW w:w="1584"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gas: MOZART4</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lang w:eastAsia="zh-CN"/>
              </w:rPr>
              <w:t>aerosol: GOCART</w:t>
            </w:r>
          </w:p>
        </w:tc>
        <w:tc>
          <w:tcPr>
            <w:tcW w:w="1443"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no</w:t>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SILAM</w:t>
            </w:r>
          </w:p>
          <w:p w:rsidR="00F6191F" w:rsidRDefault="00E5706D">
            <w:pPr>
              <w:pStyle w:val="ListParagraph"/>
              <w:ind w:left="0"/>
              <w:rPr>
                <w:b w:val="0"/>
                <w:bCs w:val="0"/>
                <w:sz w:val="22"/>
                <w:szCs w:val="22"/>
              </w:rPr>
            </w:pPr>
            <w:r>
              <w:rPr>
                <w:sz w:val="22"/>
                <w:szCs w:val="22"/>
              </w:rPr>
              <w:t>FMI</w:t>
            </w:r>
          </w:p>
        </w:tc>
        <w:tc>
          <w:tcPr>
            <w:tcW w:w="1584"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rPr>
              <w:t>Bulk-Rishardson number, modified to use 2t and U*.</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p>
        </w:tc>
        <w:tc>
          <w:tcPr>
            <w:tcW w:w="1584"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Maps of roughness, LAI from C-IFS</w:t>
            </w:r>
          </w:p>
        </w:tc>
        <w:tc>
          <w:tcPr>
            <w:tcW w:w="1585"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Dry: Resistance for gases, Kouznetsov&amp;Sofiev (2012) for particles</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Wet: Rainout and washout with air-water equilibria</w:t>
            </w:r>
          </w:p>
        </w:tc>
        <w:tc>
          <w:tcPr>
            <w:tcW w:w="1584"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color w:val="000000" w:themeColor="text1"/>
                <w:sz w:val="22"/>
                <w:szCs w:val="22"/>
                <w:lang w:eastAsia="zh-CN"/>
              </w:rPr>
            </w:pPr>
            <w:r>
              <w:rPr>
                <w:sz w:val="22"/>
                <w:szCs w:val="22"/>
                <w:lang w:eastAsia="zh-CN"/>
              </w:rPr>
              <w:t xml:space="preserve">gas: </w:t>
            </w:r>
            <w:r>
              <w:rPr>
                <w:color w:val="000000" w:themeColor="text1"/>
                <w:sz w:val="22"/>
                <w:szCs w:val="22"/>
              </w:rPr>
              <w:t>CBM-IV</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color w:val="000000" w:themeColor="text1"/>
                <w:sz w:val="22"/>
                <w:szCs w:val="22"/>
                <w:lang w:eastAsia="zh-CN"/>
              </w:rPr>
              <w:t>aerosol:</w:t>
            </w:r>
            <w:r>
              <w:rPr>
                <w:color w:val="000000" w:themeColor="text1"/>
                <w:sz w:val="22"/>
                <w:szCs w:val="22"/>
              </w:rPr>
              <w:t xml:space="preserve"> DMAT</w:t>
            </w:r>
            <w:r>
              <w:rPr>
                <w:color w:val="000000" w:themeColor="text1"/>
                <w:sz w:val="22"/>
                <w:szCs w:val="22"/>
                <w:lang w:eastAsia="zh-CN"/>
              </w:rPr>
              <w:t>/VBS</w:t>
            </w:r>
          </w:p>
        </w:tc>
        <w:tc>
          <w:tcPr>
            <w:tcW w:w="1443"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not used</w:t>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EMEP</w:t>
            </w:r>
          </w:p>
          <w:p w:rsidR="00F6191F" w:rsidRDefault="00E5706D">
            <w:pPr>
              <w:pStyle w:val="ListParagraph"/>
              <w:ind w:left="0"/>
              <w:rPr>
                <w:b w:val="0"/>
                <w:bCs w:val="0"/>
                <w:sz w:val="22"/>
                <w:szCs w:val="22"/>
              </w:rPr>
            </w:pPr>
            <w:r>
              <w:rPr>
                <w:sz w:val="22"/>
                <w:szCs w:val="22"/>
              </w:rPr>
              <w:t>MET Norway</w:t>
            </w:r>
          </w:p>
        </w:tc>
        <w:tc>
          <w:tcPr>
            <w:tcW w:w="1584"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Slightly modified bulk Richardson number, PBL height always between 100-3000 m</w:t>
            </w:r>
          </w:p>
        </w:tc>
        <w:tc>
          <w:tcPr>
            <w:tcW w:w="1584"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GLC2000</w:t>
            </w:r>
          </w:p>
        </w:tc>
        <w:tc>
          <w:tcPr>
            <w:tcW w:w="1585"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Dry: Resistance</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Wet: in-cloud and below cloud scavenging</w:t>
            </w:r>
          </w:p>
        </w:tc>
        <w:tc>
          <w:tcPr>
            <w:tcW w:w="1584"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MARS module for aerosols</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Gas: EmChem09 </w:t>
            </w:r>
          </w:p>
        </w:tc>
        <w:tc>
          <w:tcPr>
            <w:tcW w:w="1443"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no</w:t>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LOTOS-EUROS</w:t>
            </w:r>
          </w:p>
        </w:tc>
        <w:tc>
          <w:tcPr>
            <w:tcW w:w="1584"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Version 1.10</w:t>
            </w:r>
          </w:p>
        </w:tc>
        <w:tc>
          <w:tcPr>
            <w:tcW w:w="1584"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highlight w:val="yellow"/>
              </w:rPr>
            </w:pPr>
            <w:r>
              <w:rPr>
                <w:sz w:val="22"/>
                <w:szCs w:val="22"/>
              </w:rPr>
              <w:t>Regional</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Off-line</w:t>
            </w:r>
          </w:p>
        </w:tc>
        <w:tc>
          <w:tcPr>
            <w:tcW w:w="1585"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Domain 1:</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15-50 N</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71-139 E</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Domain 2:</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20-45N</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105-130</w:t>
            </w:r>
            <w:r>
              <w:rPr>
                <w:sz w:val="22"/>
                <w:szCs w:val="22"/>
                <w:vertAlign w:val="superscript"/>
              </w:rPr>
              <w:t>E</w:t>
            </w:r>
          </w:p>
        </w:tc>
        <w:tc>
          <w:tcPr>
            <w:tcW w:w="1584"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5 layers (surf. to 5 km)</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Domain 1:</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vertAlign w:val="superscript"/>
              </w:rPr>
            </w:pPr>
            <w:r>
              <w:rPr>
                <w:sz w:val="22"/>
                <w:szCs w:val="22"/>
              </w:rPr>
              <w:t>0.5</w:t>
            </w:r>
            <w:r>
              <w:rPr>
                <w:sz w:val="22"/>
                <w:szCs w:val="22"/>
                <w:vertAlign w:val="superscript"/>
              </w:rPr>
              <w:t>0</w:t>
            </w:r>
            <w:r>
              <w:rPr>
                <w:sz w:val="22"/>
                <w:szCs w:val="22"/>
              </w:rPr>
              <w:t xml:space="preserve"> x 0.25</w:t>
            </w:r>
            <w:r>
              <w:rPr>
                <w:sz w:val="22"/>
                <w:szCs w:val="22"/>
                <w:vertAlign w:val="superscript"/>
              </w:rPr>
              <w:t>0</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vertAlign w:val="superscript"/>
              </w:rPr>
            </w:pP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Domain 2:</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0.25</w:t>
            </w:r>
            <w:r>
              <w:rPr>
                <w:sz w:val="22"/>
                <w:szCs w:val="22"/>
                <w:vertAlign w:val="superscript"/>
              </w:rPr>
              <w:t>0</w:t>
            </w:r>
            <w:r>
              <w:rPr>
                <w:sz w:val="22"/>
                <w:szCs w:val="22"/>
              </w:rPr>
              <w:t xml:space="preserve"> x 0.125</w:t>
            </w:r>
            <w:r>
              <w:rPr>
                <w:sz w:val="22"/>
                <w:szCs w:val="22"/>
                <w:vertAlign w:val="superscript"/>
              </w:rPr>
              <w:t>0</w:t>
            </w:r>
          </w:p>
        </w:tc>
        <w:tc>
          <w:tcPr>
            <w:tcW w:w="1443"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ECMWF-IFS</w:t>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WRF-Chem</w:t>
            </w:r>
          </w:p>
          <w:p w:rsidR="00F6191F" w:rsidRDefault="00E5706D">
            <w:pPr>
              <w:pStyle w:val="ListParagraph"/>
              <w:ind w:left="0"/>
              <w:rPr>
                <w:b w:val="0"/>
                <w:bCs w:val="0"/>
                <w:sz w:val="22"/>
                <w:szCs w:val="22"/>
              </w:rPr>
            </w:pPr>
            <w:r>
              <w:rPr>
                <w:sz w:val="22"/>
                <w:szCs w:val="22"/>
              </w:rPr>
              <w:t>SMS</w:t>
            </w:r>
          </w:p>
        </w:tc>
        <w:tc>
          <w:tcPr>
            <w:tcW w:w="1584"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YSU</w:t>
            </w:r>
          </w:p>
        </w:tc>
        <w:tc>
          <w:tcPr>
            <w:tcW w:w="1584"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MODIS</w:t>
            </w:r>
          </w:p>
        </w:tc>
        <w:tc>
          <w:tcPr>
            <w:tcW w:w="1585"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Dry: Resistance</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rPr>
              <w:t>Wet: in-cloud</w:t>
            </w:r>
            <w:r>
              <w:rPr>
                <w:rFonts w:hint="eastAsia"/>
                <w:sz w:val="22"/>
                <w:szCs w:val="22"/>
                <w:lang w:eastAsia="zh-CN"/>
              </w:rPr>
              <w:t xml:space="preserve"> </w:t>
            </w:r>
            <w:r>
              <w:rPr>
                <w:sz w:val="22"/>
                <w:szCs w:val="22"/>
              </w:rPr>
              <w:t>scavenging</w:t>
            </w:r>
          </w:p>
        </w:tc>
        <w:tc>
          <w:tcPr>
            <w:tcW w:w="1584"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g</w:t>
            </w:r>
            <w:r>
              <w:rPr>
                <w:sz w:val="22"/>
                <w:szCs w:val="22"/>
                <w:lang w:eastAsia="zh-CN"/>
              </w:rPr>
              <w:t>as</w:t>
            </w:r>
            <w:r>
              <w:rPr>
                <w:rFonts w:hint="eastAsia"/>
                <w:sz w:val="22"/>
                <w:szCs w:val="22"/>
                <w:lang w:eastAsia="zh-CN"/>
              </w:rPr>
              <w:t>:</w:t>
            </w:r>
            <w:r>
              <w:rPr>
                <w:sz w:val="22"/>
                <w:szCs w:val="22"/>
                <w:lang w:eastAsia="zh-CN"/>
              </w:rPr>
              <w:t>RADM2</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aerosol</w:t>
            </w:r>
            <w:r>
              <w:rPr>
                <w:rFonts w:hint="eastAsia"/>
                <w:sz w:val="22"/>
                <w:szCs w:val="22"/>
                <w:lang w:eastAsia="zh-CN"/>
              </w:rPr>
              <w:t xml:space="preserve">: </w:t>
            </w:r>
            <w:r>
              <w:rPr>
                <w:sz w:val="22"/>
                <w:szCs w:val="22"/>
                <w:lang w:eastAsia="zh-CN"/>
              </w:rPr>
              <w:t>ISORROPIA/SORGAM</w:t>
            </w:r>
          </w:p>
        </w:tc>
        <w:tc>
          <w:tcPr>
            <w:tcW w:w="1443"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no</w:t>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WRF-CMAQ</w:t>
            </w:r>
          </w:p>
          <w:p w:rsidR="00F6191F" w:rsidRDefault="00E5706D">
            <w:pPr>
              <w:pStyle w:val="ListParagraph"/>
              <w:ind w:left="0"/>
              <w:rPr>
                <w:b w:val="0"/>
                <w:bCs w:val="0"/>
                <w:sz w:val="22"/>
                <w:szCs w:val="22"/>
              </w:rPr>
            </w:pPr>
            <w:r>
              <w:rPr>
                <w:sz w:val="22"/>
                <w:szCs w:val="22"/>
              </w:rPr>
              <w:t>NJU</w:t>
            </w:r>
          </w:p>
        </w:tc>
        <w:tc>
          <w:tcPr>
            <w:tcW w:w="1584"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YSU</w:t>
            </w:r>
            <w:r>
              <w:rPr>
                <w:sz w:val="22"/>
                <w:szCs w:val="22"/>
              </w:rPr>
              <w:t xml:space="preserve"> </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p>
        </w:tc>
        <w:tc>
          <w:tcPr>
            <w:tcW w:w="1584"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rFonts w:hint="eastAsia"/>
                <w:sz w:val="22"/>
                <w:szCs w:val="22"/>
                <w:lang w:eastAsia="zh-CN"/>
              </w:rPr>
              <w:t>USGS modified with MODIS</w:t>
            </w:r>
            <w:r>
              <w:rPr>
                <w:sz w:val="22"/>
                <w:szCs w:val="22"/>
              </w:rPr>
              <w:t xml:space="preserve"> </w:t>
            </w:r>
            <w:r>
              <w:rPr>
                <w:rFonts w:hint="eastAsia"/>
                <w:sz w:val="22"/>
                <w:szCs w:val="22"/>
                <w:lang w:eastAsia="zh-CN"/>
              </w:rPr>
              <w:t>urban cover data</w:t>
            </w:r>
          </w:p>
        </w:tc>
        <w:tc>
          <w:tcPr>
            <w:tcW w:w="1585"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Dry: Resistance</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Wet: in-cloud and below cloud scavenging</w:t>
            </w:r>
          </w:p>
        </w:tc>
        <w:tc>
          <w:tcPr>
            <w:tcW w:w="1584"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G</w:t>
            </w:r>
            <w:r>
              <w:rPr>
                <w:rFonts w:hint="eastAsia"/>
                <w:sz w:val="22"/>
                <w:szCs w:val="22"/>
                <w:lang w:eastAsia="zh-CN"/>
              </w:rPr>
              <w:t>as: CB05</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lang w:eastAsia="zh-CN"/>
              </w:rPr>
              <w:t>A</w:t>
            </w:r>
            <w:r>
              <w:rPr>
                <w:rFonts w:hint="eastAsia"/>
                <w:sz w:val="22"/>
                <w:szCs w:val="22"/>
                <w:lang w:eastAsia="zh-CN"/>
              </w:rPr>
              <w:t>erosol: aero4</w:t>
            </w:r>
          </w:p>
        </w:tc>
        <w:tc>
          <w:tcPr>
            <w:tcW w:w="1443"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Yes (</w:t>
            </w:r>
            <w:r>
              <w:rPr>
                <w:sz w:val="22"/>
                <w:szCs w:val="22"/>
              </w:rPr>
              <w:t>SO</w:t>
            </w:r>
            <w:r>
              <w:rPr>
                <w:sz w:val="22"/>
                <w:szCs w:val="22"/>
                <w:vertAlign w:val="subscript"/>
              </w:rPr>
              <w:t>2</w:t>
            </w:r>
            <w:r>
              <w:rPr>
                <w:sz w:val="22"/>
                <w:szCs w:val="22"/>
              </w:rPr>
              <w:t>, NO</w:t>
            </w:r>
            <w:r>
              <w:rPr>
                <w:sz w:val="22"/>
                <w:szCs w:val="22"/>
                <w:vertAlign w:val="subscript"/>
              </w:rPr>
              <w:t>2</w:t>
            </w:r>
            <w:r>
              <w:rPr>
                <w:sz w:val="22"/>
                <w:szCs w:val="22"/>
              </w:rPr>
              <w:t>, CO, O</w:t>
            </w:r>
            <w:r>
              <w:rPr>
                <w:sz w:val="22"/>
                <w:szCs w:val="22"/>
                <w:vertAlign w:val="subscript"/>
              </w:rPr>
              <w:t>3</w:t>
            </w:r>
            <w:r>
              <w:rPr>
                <w:sz w:val="22"/>
                <w:szCs w:val="22"/>
              </w:rPr>
              <w:t>, PM2.5</w:t>
            </w:r>
            <w:r>
              <w:rPr>
                <w:sz w:val="22"/>
                <w:szCs w:val="22"/>
                <w:lang w:eastAsia="zh-CN"/>
              </w:rPr>
              <w:t xml:space="preserve">, </w:t>
            </w:r>
            <w:r>
              <w:rPr>
                <w:sz w:val="22"/>
                <w:szCs w:val="22"/>
              </w:rPr>
              <w:t>PM10</w:t>
            </w:r>
            <w:r>
              <w:rPr>
                <w:sz w:val="22"/>
                <w:szCs w:val="22"/>
                <w:lang w:eastAsia="zh-CN"/>
              </w:rPr>
              <w:t>)</w:t>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WARMS-CMAQ</w:t>
            </w:r>
          </w:p>
          <w:p w:rsidR="00F6191F" w:rsidRDefault="00E5706D">
            <w:pPr>
              <w:pStyle w:val="ListParagraph"/>
              <w:ind w:left="0"/>
              <w:rPr>
                <w:b w:val="0"/>
                <w:bCs w:val="0"/>
                <w:sz w:val="22"/>
                <w:szCs w:val="22"/>
              </w:rPr>
            </w:pPr>
            <w:r>
              <w:rPr>
                <w:sz w:val="22"/>
                <w:szCs w:val="22"/>
              </w:rPr>
              <w:t>SMS</w:t>
            </w:r>
          </w:p>
        </w:tc>
        <w:tc>
          <w:tcPr>
            <w:tcW w:w="1584"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YSU</w:t>
            </w:r>
          </w:p>
        </w:tc>
        <w:tc>
          <w:tcPr>
            <w:tcW w:w="1584"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MODIS</w:t>
            </w:r>
          </w:p>
        </w:tc>
        <w:tc>
          <w:tcPr>
            <w:tcW w:w="1585"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Dry: Resistance</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Wet: in-cloud and below cloud scavenging</w:t>
            </w:r>
          </w:p>
        </w:tc>
        <w:tc>
          <w:tcPr>
            <w:tcW w:w="1584"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g</w:t>
            </w:r>
            <w:r>
              <w:rPr>
                <w:sz w:val="22"/>
                <w:szCs w:val="22"/>
                <w:lang w:eastAsia="zh-CN"/>
              </w:rPr>
              <w:t>as</w:t>
            </w:r>
            <w:r>
              <w:rPr>
                <w:rFonts w:hint="eastAsia"/>
                <w:sz w:val="22"/>
                <w:szCs w:val="22"/>
                <w:lang w:eastAsia="zh-CN"/>
              </w:rPr>
              <w:t xml:space="preserve">: </w:t>
            </w:r>
            <w:r>
              <w:rPr>
                <w:sz w:val="22"/>
                <w:szCs w:val="22"/>
                <w:lang w:eastAsia="zh-CN"/>
              </w:rPr>
              <w:t>CB05</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aerosol</w:t>
            </w:r>
            <w:r>
              <w:rPr>
                <w:rFonts w:hint="eastAsia"/>
                <w:sz w:val="22"/>
                <w:szCs w:val="22"/>
                <w:lang w:eastAsia="zh-CN"/>
              </w:rPr>
              <w:t xml:space="preserve">: </w:t>
            </w:r>
            <w:r>
              <w:rPr>
                <w:sz w:val="22"/>
                <w:szCs w:val="22"/>
                <w:lang w:eastAsia="zh-CN"/>
              </w:rPr>
              <w:t>CMAQ</w:t>
            </w:r>
            <w:r>
              <w:rPr>
                <w:rFonts w:hint="eastAsia"/>
                <w:sz w:val="22"/>
                <w:szCs w:val="22"/>
                <w:lang w:eastAsia="zh-CN"/>
              </w:rPr>
              <w:t xml:space="preserve"> </w:t>
            </w:r>
            <w:r>
              <w:rPr>
                <w:sz w:val="22"/>
                <w:szCs w:val="22"/>
                <w:lang w:eastAsia="zh-CN"/>
              </w:rPr>
              <w:t>aero5</w:t>
            </w:r>
          </w:p>
        </w:tc>
        <w:tc>
          <w:tcPr>
            <w:tcW w:w="1443"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no</w:t>
            </w:r>
          </w:p>
        </w:tc>
      </w:tr>
    </w:tbl>
    <w:p w:rsidR="00F6191F" w:rsidRDefault="00F6191F">
      <w:pPr>
        <w:pStyle w:val="ListParagraph"/>
        <w:ind w:left="0"/>
        <w:rPr>
          <w:b/>
        </w:rPr>
      </w:pPr>
    </w:p>
    <w:p w:rsidR="00F6191F" w:rsidRDefault="00F6191F">
      <w:pPr>
        <w:pStyle w:val="ListParagraph"/>
        <w:ind w:left="0"/>
        <w:rPr>
          <w:b/>
        </w:rPr>
      </w:pPr>
    </w:p>
    <w:p w:rsidR="00F6191F" w:rsidRDefault="00F6191F">
      <w:pPr>
        <w:pStyle w:val="ListParagraph"/>
        <w:ind w:left="0"/>
        <w:rPr>
          <w:b/>
        </w:rPr>
      </w:pPr>
    </w:p>
    <w:p w:rsidR="00F6191F" w:rsidRDefault="00E5706D">
      <w:pPr>
        <w:pStyle w:val="ListParagraph"/>
        <w:numPr>
          <w:ilvl w:val="0"/>
          <w:numId w:val="1"/>
        </w:numPr>
        <w:rPr>
          <w:b/>
        </w:rPr>
      </w:pPr>
      <w:r>
        <w:rPr>
          <w:b/>
        </w:rPr>
        <w:t>Adopted Emissions</w:t>
      </w:r>
    </w:p>
    <w:p w:rsidR="00F6191F" w:rsidRDefault="00F6191F">
      <w:pPr>
        <w:pStyle w:val="ListParagraph"/>
        <w:ind w:left="360"/>
        <w:rPr>
          <w:b/>
        </w:rPr>
      </w:pPr>
    </w:p>
    <w:p w:rsidR="00F6191F" w:rsidRDefault="00E5706D">
      <w:pPr>
        <w:jc w:val="both"/>
      </w:pPr>
      <w:r>
        <w:t>The choice of the adopted surface emissions for primary chemical species has a significant influence on the atmospheric concentrations calculated for these species and for related secondary pollutants. In this inter-comparison exercise, the different groups involved have adopted their preferred anthropogenic emissions based on published inventories such as MEIC (</w:t>
      </w:r>
      <w:r>
        <w:rPr>
          <w:rFonts w:eastAsia="AdvOT863180fb" w:cs="Times New Roman"/>
          <w:color w:val="000000" w:themeColor="text1"/>
        </w:rPr>
        <w:t>Li et al., 2014; Liu et al., 2015</w:t>
      </w:r>
      <w:r>
        <w:t>), MACCity (Granier et al., 2011), EDGAR (Muntean et al., 2014; Crippa et al., 2016) and HTAP (</w:t>
      </w:r>
      <w:r>
        <w:rPr>
          <w:rFonts w:cs="Times New Roman"/>
          <w:color w:val="000000" w:themeColor="text1"/>
        </w:rPr>
        <w:t>Janssens-Maenhout</w:t>
      </w:r>
      <w:r>
        <w:rPr>
          <w:rFonts w:cs="Times New Roman" w:hint="eastAsia"/>
          <w:color w:val="000000" w:themeColor="text1"/>
        </w:rPr>
        <w:t xml:space="preserve"> et al., 2015</w:t>
      </w:r>
      <w:r>
        <w:rPr>
          <w:rFonts w:cs="Times New Roman"/>
          <w:color w:val="000000" w:themeColor="text1"/>
        </w:rPr>
        <w:t>)</w:t>
      </w:r>
      <w:r>
        <w:t>. An inventory developed specifically for the PANDA project called PanHam has been obtained by combining information from the MEIC and HTAP inventories.  Each model uses its own formulation for dust mobilization or seal salt emissions. In most cases, the biogenic emissions are derived online or offline from the MEGAN model (</w:t>
      </w:r>
      <w:r>
        <w:rPr>
          <w:rFonts w:ascii="Times New Roman" w:hAnsi="Times New Roman" w:cs="Times New Roman"/>
        </w:rPr>
        <w:t xml:space="preserve">Guenther et al., </w:t>
      </w:r>
      <w:r>
        <w:rPr>
          <w:rFonts w:ascii="Times New Roman" w:hAnsi="Times New Roman" w:cs="Times New Roman" w:hint="eastAsia"/>
          <w:lang w:eastAsia="zh-CN"/>
        </w:rPr>
        <w:t xml:space="preserve">2006, </w:t>
      </w:r>
      <w:r>
        <w:rPr>
          <w:rFonts w:ascii="Times New Roman" w:hAnsi="Times New Roman" w:cs="Times New Roman"/>
        </w:rPr>
        <w:t>2012</w:t>
      </w:r>
      <w:r>
        <w:t>). Table 3 provides more details about the specified emissions and Figure 1 shows the mean distribution of the anthropogenic emissions for CO, NO and SO</w:t>
      </w:r>
      <w:r>
        <w:rPr>
          <w:vertAlign w:val="subscript"/>
        </w:rPr>
        <w:t>2</w:t>
      </w:r>
      <w:r>
        <w:t xml:space="preserve"> adopted by different models during the period 1-14 March 2017. In the case of carbon monoxide, the adopted emissions are relatively similar in all models with mean emissions ranging from 4.0 to 4.6 mg m</w:t>
      </w:r>
      <w:r>
        <w:rPr>
          <w:vertAlign w:val="superscript"/>
        </w:rPr>
        <w:t>-2</w:t>
      </w:r>
      <w:r>
        <w:t xml:space="preserve"> h</w:t>
      </w:r>
      <w:r>
        <w:rPr>
          <w:vertAlign w:val="superscript"/>
        </w:rPr>
        <w:t>-1</w:t>
      </w:r>
      <w:r>
        <w:t>. In the case of nitric oxide, however, there are substantial differences with mean emissions ranging from 0.31 mg m</w:t>
      </w:r>
      <w:r>
        <w:rPr>
          <w:vertAlign w:val="superscript"/>
        </w:rPr>
        <w:t>-2</w:t>
      </w:r>
      <w:r>
        <w:t xml:space="preserve"> h</w:t>
      </w:r>
      <w:r>
        <w:rPr>
          <w:vertAlign w:val="superscript"/>
        </w:rPr>
        <w:t>-1</w:t>
      </w:r>
      <w:r>
        <w:t xml:space="preserve"> (WRF-Chem-MPIM) to 0.99 mg m</w:t>
      </w:r>
      <w:r>
        <w:rPr>
          <w:vertAlign w:val="superscript"/>
        </w:rPr>
        <w:t>-2</w:t>
      </w:r>
      <w:r>
        <w:t xml:space="preserve"> h</w:t>
      </w:r>
      <w:r>
        <w:rPr>
          <w:vertAlign w:val="superscript"/>
        </w:rPr>
        <w:t>-1</w:t>
      </w:r>
      <w:r>
        <w:t xml:space="preserve"> (EMEP), but with values around 0.30 – 0.45 mg m</w:t>
      </w:r>
      <w:r>
        <w:rPr>
          <w:vertAlign w:val="superscript"/>
        </w:rPr>
        <w:t>-2</w:t>
      </w:r>
      <w:r>
        <w:t xml:space="preserve"> h</w:t>
      </w:r>
      <w:r>
        <w:rPr>
          <w:vertAlign w:val="superscript"/>
        </w:rPr>
        <w:t>-1</w:t>
      </w:r>
      <w:r>
        <w:t xml:space="preserve"> used by most models. For sulphur dioxide, produced primarily from coal combustion, the adopted values range from 0.31 mg m</w:t>
      </w:r>
      <w:r>
        <w:rPr>
          <w:vertAlign w:val="superscript"/>
        </w:rPr>
        <w:t>-2</w:t>
      </w:r>
      <w:r>
        <w:t xml:space="preserve"> h</w:t>
      </w:r>
      <w:r>
        <w:rPr>
          <w:vertAlign w:val="superscript"/>
        </w:rPr>
        <w:t>-1</w:t>
      </w:r>
      <w:r>
        <w:t xml:space="preserve"> (WRF-Chem-SMS) to 0.73 mg m</w:t>
      </w:r>
      <w:r>
        <w:rPr>
          <w:vertAlign w:val="superscript"/>
        </w:rPr>
        <w:t>-2</w:t>
      </w:r>
      <w:r>
        <w:t xml:space="preserve"> h</w:t>
      </w:r>
      <w:r>
        <w:rPr>
          <w:vertAlign w:val="superscript"/>
        </w:rPr>
        <w:t>-1</w:t>
      </w:r>
      <w:r>
        <w:t xml:space="preserve"> (IFS), but with values around 0.67 mg m</w:t>
      </w:r>
      <w:r>
        <w:rPr>
          <w:vertAlign w:val="superscript"/>
        </w:rPr>
        <w:t>-2</w:t>
      </w:r>
      <w:r>
        <w:t xml:space="preserve"> h</w:t>
      </w:r>
      <w:r>
        <w:rPr>
          <w:vertAlign w:val="superscript"/>
        </w:rPr>
        <w:t>-1</w:t>
      </w:r>
      <w:r>
        <w:t xml:space="preserve"> adopted in most models. The low values adopted for </w:t>
      </w:r>
      <w:r>
        <w:rPr>
          <w:rFonts w:hint="eastAsia"/>
          <w:lang w:eastAsia="zh-CN"/>
        </w:rPr>
        <w:t>WRF-Chem-SMS</w:t>
      </w:r>
      <w:r>
        <w:t xml:space="preserve"> reflect the </w:t>
      </w:r>
      <w:r>
        <w:rPr>
          <w:rFonts w:hint="eastAsia"/>
          <w:lang w:eastAsia="zh-CN"/>
        </w:rPr>
        <w:t xml:space="preserve">likely </w:t>
      </w:r>
      <w:r>
        <w:t>impact of the recent measures taken in China to limit the emissions from coal burning facilities.</w:t>
      </w:r>
    </w:p>
    <w:p w:rsidR="0062538A" w:rsidRDefault="0062538A">
      <w:pPr>
        <w:jc w:val="both"/>
      </w:pPr>
    </w:p>
    <w:p w:rsidR="00F6191F" w:rsidRDefault="00E5706D">
      <w:pPr>
        <w:jc w:val="both"/>
        <w:rPr>
          <w:lang w:eastAsia="zh-CN"/>
        </w:rPr>
      </w:pPr>
      <w:r>
        <w:t xml:space="preserve">Emission inventories that are currently available to the modelling community usually account for anthropogenic emissions for years </w:t>
      </w:r>
      <w:r>
        <w:rPr>
          <w:rFonts w:hint="eastAsia"/>
          <w:lang w:eastAsia="zh-CN"/>
        </w:rPr>
        <w:t xml:space="preserve">2010 to </w:t>
      </w:r>
      <w:r>
        <w:t>2012, and hence do not account for the substantial reduction in the emissions that took place since around 2014 as a result of actions taken by the Chinese authorities. The lower emission values adopted by several models may therefore be more realistic for providing chemical weather forecasts in 2017.</w:t>
      </w:r>
    </w:p>
    <w:p w:rsidR="00F6191F" w:rsidRDefault="00F6191F">
      <w:pPr>
        <w:jc w:val="both"/>
        <w:rPr>
          <w:lang w:eastAsia="zh-CN"/>
        </w:rPr>
      </w:pPr>
    </w:p>
    <w:p w:rsidR="00F6191F" w:rsidRDefault="00F6191F">
      <w:pPr>
        <w:jc w:val="both"/>
      </w:pPr>
    </w:p>
    <w:p w:rsidR="00F6191F" w:rsidRDefault="00E5706D">
      <w:pPr>
        <w:widowControl w:val="0"/>
        <w:autoSpaceDE w:val="0"/>
        <w:autoSpaceDN w:val="0"/>
        <w:adjustRightInd w:val="0"/>
        <w:rPr>
          <w:rFonts w:ascii="Didot" w:hAnsi="Didot" w:cs="Didot"/>
          <w:sz w:val="36"/>
          <w:szCs w:val="36"/>
        </w:rPr>
      </w:pPr>
      <w:r>
        <w:rPr>
          <w:rFonts w:ascii="Didot" w:hAnsi="Didot" w:cs="Didot"/>
          <w:noProof/>
          <w:sz w:val="36"/>
          <w:szCs w:val="36"/>
          <w:lang w:val="en-US" w:eastAsia="zh-CN"/>
        </w:rPr>
        <w:lastRenderedPageBreak/>
        <w:drawing>
          <wp:inline distT="0" distB="0" distL="0" distR="0">
            <wp:extent cx="5917565" cy="3724910"/>
            <wp:effectExtent l="0" t="0" r="635" b="889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
                    <pic:cNvPicPr>
                      <a:picLocks noChangeAspect="1" noChangeArrowheads="1"/>
                    </pic:cNvPicPr>
                  </pic:nvPicPr>
                  <pic:blipFill>
                    <a:blip r:embed="rId35">
                      <a:extLst>
                        <a:ext uri="{28A0092B-C50C-407E-A947-70E740481C1C}">
                          <a14:useLocalDpi xmlns:a14="http://schemas.microsoft.com/office/drawing/2010/main" val="0"/>
                        </a:ext>
                      </a:extLst>
                    </a:blip>
                    <a:srcRect l="1197" t="10620" r="9512" b="5066"/>
                    <a:stretch>
                      <a:fillRect/>
                    </a:stretch>
                  </pic:blipFill>
                  <pic:spPr>
                    <a:xfrm>
                      <a:off x="0" y="0"/>
                      <a:ext cx="5919688" cy="3726492"/>
                    </a:xfrm>
                    <a:prstGeom prst="rect">
                      <a:avLst/>
                    </a:prstGeom>
                    <a:noFill/>
                    <a:ln>
                      <a:noFill/>
                    </a:ln>
                  </pic:spPr>
                </pic:pic>
              </a:graphicData>
            </a:graphic>
          </wp:inline>
        </w:drawing>
      </w:r>
    </w:p>
    <w:p w:rsidR="00F6191F" w:rsidRDefault="00E5706D">
      <w:pPr>
        <w:pStyle w:val="ListParagraph"/>
        <w:ind w:left="0"/>
        <w:rPr>
          <w:b/>
        </w:rPr>
      </w:pPr>
      <w:r>
        <w:rPr>
          <w:b/>
          <w:sz w:val="22"/>
          <w:szCs w:val="22"/>
        </w:rPr>
        <w:t xml:space="preserve">Figure 1. </w:t>
      </w:r>
      <w:r>
        <w:rPr>
          <w:sz w:val="22"/>
          <w:szCs w:val="22"/>
        </w:rPr>
        <w:t>Surface emissions of CO, NO and SO</w:t>
      </w:r>
      <w:r>
        <w:rPr>
          <w:sz w:val="22"/>
          <w:szCs w:val="22"/>
          <w:vertAlign w:val="subscript"/>
        </w:rPr>
        <w:t>2</w:t>
      </w:r>
      <w:r>
        <w:rPr>
          <w:sz w:val="22"/>
          <w:szCs w:val="22"/>
        </w:rPr>
        <w:t xml:space="preserve"> [mg m</w:t>
      </w:r>
      <w:r>
        <w:rPr>
          <w:sz w:val="22"/>
          <w:szCs w:val="22"/>
          <w:vertAlign w:val="superscript"/>
        </w:rPr>
        <w:t>-2</w:t>
      </w:r>
      <w:r>
        <w:rPr>
          <w:sz w:val="22"/>
          <w:szCs w:val="22"/>
        </w:rPr>
        <w:t xml:space="preserve"> h</w:t>
      </w:r>
      <w:r>
        <w:rPr>
          <w:sz w:val="22"/>
          <w:szCs w:val="22"/>
          <w:vertAlign w:val="superscript"/>
        </w:rPr>
        <w:t>-1</w:t>
      </w:r>
      <w:r>
        <w:rPr>
          <w:sz w:val="22"/>
          <w:szCs w:val="22"/>
        </w:rPr>
        <w:t>] adopted by the different models (average for the period 1-14 March 2017). Note that the SCUEM emissions are those used in the WRF-Chem-SMS model.</w:t>
      </w:r>
    </w:p>
    <w:p w:rsidR="00F6191F" w:rsidRDefault="00F6191F">
      <w:pPr>
        <w:pStyle w:val="ListParagraph"/>
        <w:ind w:left="0"/>
        <w:rPr>
          <w:b/>
          <w:lang w:eastAsia="zh-CN"/>
        </w:rPr>
      </w:pPr>
    </w:p>
    <w:p w:rsidR="00F6191F" w:rsidRDefault="00F6191F">
      <w:pPr>
        <w:pStyle w:val="ListParagraph"/>
        <w:ind w:left="0"/>
        <w:rPr>
          <w:b/>
        </w:rPr>
      </w:pPr>
    </w:p>
    <w:p w:rsidR="00F6191F" w:rsidRDefault="00F6191F">
      <w:pPr>
        <w:pStyle w:val="ListParagraph"/>
        <w:ind w:left="0"/>
        <w:rPr>
          <w:b/>
        </w:rPr>
      </w:pPr>
    </w:p>
    <w:p w:rsidR="00F6191F" w:rsidRDefault="00E5706D">
      <w:pPr>
        <w:pStyle w:val="ListParagraph"/>
        <w:ind w:left="0"/>
        <w:rPr>
          <w:b/>
        </w:rPr>
      </w:pPr>
      <w:r>
        <w:rPr>
          <w:b/>
        </w:rPr>
        <w:t>Table 3. Adopted Emissions</w:t>
      </w:r>
    </w:p>
    <w:p w:rsidR="00F6191F" w:rsidRDefault="00F6191F">
      <w:pPr>
        <w:pStyle w:val="ListParagraph"/>
        <w:ind w:left="0"/>
        <w:rPr>
          <w:b/>
        </w:rPr>
      </w:pPr>
    </w:p>
    <w:tbl>
      <w:tblPr>
        <w:tblStyle w:val="MediumShading2-Accent1"/>
        <w:tblW w:w="9288" w:type="dxa"/>
        <w:tblLayout w:type="fixed"/>
        <w:tblLook w:val="04A0" w:firstRow="1" w:lastRow="0" w:firstColumn="1" w:lastColumn="0" w:noHBand="0" w:noVBand="1"/>
      </w:tblPr>
      <w:tblGrid>
        <w:gridCol w:w="1400"/>
        <w:gridCol w:w="1296"/>
        <w:gridCol w:w="1297"/>
        <w:gridCol w:w="1297"/>
        <w:gridCol w:w="1296"/>
        <w:gridCol w:w="1297"/>
        <w:gridCol w:w="1405"/>
      </w:tblGrid>
      <w:tr w:rsidR="00F6191F" w:rsidTr="00F6191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00" w:type="dxa"/>
          </w:tcPr>
          <w:p w:rsidR="00F6191F" w:rsidRDefault="00E5706D">
            <w:pPr>
              <w:pStyle w:val="ListParagraph"/>
              <w:ind w:left="0"/>
              <w:rPr>
                <w:b w:val="0"/>
                <w:bCs w:val="0"/>
                <w:sz w:val="22"/>
                <w:szCs w:val="22"/>
              </w:rPr>
            </w:pPr>
            <w:r>
              <w:rPr>
                <w:sz w:val="22"/>
                <w:szCs w:val="22"/>
              </w:rPr>
              <w:t>Model and Institution</w:t>
            </w:r>
          </w:p>
        </w:tc>
        <w:tc>
          <w:tcPr>
            <w:tcW w:w="1296"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Cs w:val="0"/>
                <w:sz w:val="22"/>
                <w:szCs w:val="22"/>
              </w:rPr>
            </w:pPr>
            <w:r>
              <w:rPr>
                <w:sz w:val="22"/>
                <w:szCs w:val="22"/>
              </w:rPr>
              <w:t>Anthro. dataset</w:t>
            </w:r>
          </w:p>
        </w:tc>
        <w:tc>
          <w:tcPr>
            <w:tcW w:w="1297"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Cs w:val="0"/>
                <w:sz w:val="22"/>
                <w:szCs w:val="22"/>
              </w:rPr>
            </w:pPr>
            <w:r>
              <w:rPr>
                <w:sz w:val="22"/>
                <w:szCs w:val="22"/>
              </w:rPr>
              <w:t>Dust</w:t>
            </w:r>
          </w:p>
        </w:tc>
        <w:tc>
          <w:tcPr>
            <w:tcW w:w="1297"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Cs w:val="0"/>
                <w:sz w:val="22"/>
                <w:szCs w:val="22"/>
              </w:rPr>
            </w:pPr>
            <w:r>
              <w:rPr>
                <w:sz w:val="22"/>
                <w:szCs w:val="22"/>
              </w:rPr>
              <w:t>Seasalt</w:t>
            </w:r>
          </w:p>
        </w:tc>
        <w:tc>
          <w:tcPr>
            <w:tcW w:w="1296"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Cs w:val="0"/>
                <w:sz w:val="22"/>
                <w:szCs w:val="22"/>
              </w:rPr>
            </w:pPr>
            <w:r>
              <w:rPr>
                <w:sz w:val="22"/>
                <w:szCs w:val="22"/>
              </w:rPr>
              <w:t>Biogenic</w:t>
            </w:r>
          </w:p>
        </w:tc>
        <w:tc>
          <w:tcPr>
            <w:tcW w:w="1297"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Cs w:val="0"/>
                <w:sz w:val="22"/>
                <w:szCs w:val="22"/>
                <w:lang w:eastAsia="zh-CN"/>
              </w:rPr>
            </w:pPr>
            <w:r>
              <w:rPr>
                <w:sz w:val="22"/>
                <w:szCs w:val="22"/>
                <w:lang w:eastAsia="zh-CN"/>
              </w:rPr>
              <w:t>Biomass burning</w:t>
            </w:r>
          </w:p>
        </w:tc>
        <w:tc>
          <w:tcPr>
            <w:tcW w:w="1405" w:type="dxa"/>
          </w:tcPr>
          <w:p w:rsidR="00F6191F" w:rsidRDefault="00E5706D">
            <w:pPr>
              <w:pStyle w:val="ListParagraph"/>
              <w:ind w:left="0"/>
              <w:cnfStyle w:val="100000000000" w:firstRow="1" w:lastRow="0" w:firstColumn="0" w:lastColumn="0" w:oddVBand="0" w:evenVBand="0" w:oddHBand="0" w:evenHBand="0" w:firstRowFirstColumn="0" w:firstRowLastColumn="0" w:lastRowFirstColumn="0" w:lastRowLastColumn="0"/>
              <w:rPr>
                <w:bCs w:val="0"/>
                <w:sz w:val="22"/>
                <w:szCs w:val="22"/>
                <w:lang w:eastAsia="zh-CN"/>
              </w:rPr>
            </w:pPr>
            <w:r>
              <w:rPr>
                <w:sz w:val="22"/>
                <w:szCs w:val="22"/>
                <w:lang w:eastAsia="zh-CN"/>
              </w:rPr>
              <w:t>Special Treatment</w:t>
            </w:r>
            <w:r>
              <w:rPr>
                <w:rFonts w:hint="eastAsia"/>
                <w:sz w:val="22"/>
                <w:szCs w:val="22"/>
                <w:lang w:eastAsia="zh-CN"/>
              </w:rPr>
              <w:t>/Modification</w:t>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IFS</w:t>
            </w:r>
          </w:p>
          <w:p w:rsidR="00F6191F" w:rsidRDefault="00E5706D">
            <w:pPr>
              <w:pStyle w:val="ListParagraph"/>
              <w:ind w:left="0"/>
              <w:rPr>
                <w:b w:val="0"/>
                <w:bCs w:val="0"/>
                <w:sz w:val="22"/>
                <w:szCs w:val="22"/>
              </w:rPr>
            </w:pPr>
            <w:r>
              <w:rPr>
                <w:sz w:val="22"/>
                <w:szCs w:val="22"/>
              </w:rPr>
              <w:t>ECMWF</w:t>
            </w:r>
          </w:p>
        </w:tc>
        <w:tc>
          <w:tcPr>
            <w:tcW w:w="1296"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MACCity</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tc>
        <w:tc>
          <w:tcPr>
            <w:tcW w:w="1297"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t>Ginoux et al (2001)</w:t>
            </w:r>
          </w:p>
        </w:tc>
        <w:tc>
          <w:tcPr>
            <w:tcW w:w="1297"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 xml:space="preserve">Monahan et al. </w:t>
            </w:r>
            <w:r>
              <w:rPr>
                <w:sz w:val="22"/>
                <w:szCs w:val="22"/>
                <w:lang w:eastAsia="zh-CN"/>
              </w:rPr>
              <w:t>(1986)</w:t>
            </w:r>
          </w:p>
        </w:tc>
        <w:tc>
          <w:tcPr>
            <w:tcW w:w="1296"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Monthly climatology of MEGAN v2 run</w:t>
            </w:r>
          </w:p>
        </w:tc>
        <w:tc>
          <w:tcPr>
            <w:tcW w:w="1297"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GFAS</w:t>
            </w:r>
          </w:p>
        </w:tc>
        <w:tc>
          <w:tcPr>
            <w:tcW w:w="1405"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Diurnal cycle for isoprene</w:t>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CHIMERE</w:t>
            </w:r>
          </w:p>
          <w:p w:rsidR="00F6191F" w:rsidRDefault="00E5706D">
            <w:pPr>
              <w:pStyle w:val="ListParagraph"/>
              <w:ind w:left="0"/>
              <w:rPr>
                <w:b w:val="0"/>
                <w:bCs w:val="0"/>
                <w:sz w:val="22"/>
                <w:szCs w:val="22"/>
              </w:rPr>
            </w:pPr>
            <w:r>
              <w:rPr>
                <w:sz w:val="22"/>
                <w:szCs w:val="22"/>
              </w:rPr>
              <w:t>KNMI</w:t>
            </w:r>
          </w:p>
        </w:tc>
        <w:tc>
          <w:tcPr>
            <w:tcW w:w="1296"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MEIC 2010</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tc>
        <w:tc>
          <w:tcPr>
            <w:tcW w:w="1297"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none</w:t>
            </w:r>
          </w:p>
        </w:tc>
        <w:tc>
          <w:tcPr>
            <w:tcW w:w="1297"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none</w:t>
            </w:r>
          </w:p>
        </w:tc>
        <w:tc>
          <w:tcPr>
            <w:tcW w:w="1296"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MEGAN</w:t>
            </w:r>
          </w:p>
        </w:tc>
        <w:tc>
          <w:tcPr>
            <w:tcW w:w="1297"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none</w:t>
            </w:r>
          </w:p>
        </w:tc>
        <w:tc>
          <w:tcPr>
            <w:tcW w:w="1405"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none</w:t>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WRF-Chem-MPIM</w:t>
            </w:r>
          </w:p>
        </w:tc>
        <w:tc>
          <w:tcPr>
            <w:tcW w:w="1296"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HTAPv2</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p>
        </w:tc>
        <w:tc>
          <w:tcPr>
            <w:tcW w:w="1297"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GOCART</w:t>
            </w:r>
          </w:p>
        </w:tc>
        <w:tc>
          <w:tcPr>
            <w:tcW w:w="1297"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MOSAIC</w:t>
            </w:r>
          </w:p>
        </w:tc>
        <w:tc>
          <w:tcPr>
            <w:tcW w:w="1296"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MEGAN</w:t>
            </w:r>
          </w:p>
        </w:tc>
        <w:tc>
          <w:tcPr>
            <w:tcW w:w="1297"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none</w:t>
            </w:r>
          </w:p>
        </w:tc>
        <w:tc>
          <w:tcPr>
            <w:tcW w:w="1405"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Diurnal profiles by sector;</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lang w:eastAsia="zh-CN"/>
              </w:rPr>
              <w:t>Anthro NOx emission</w:t>
            </w:r>
            <w:r>
              <w:rPr>
                <w:rFonts w:hint="eastAsia"/>
                <w:sz w:val="22"/>
                <w:szCs w:val="22"/>
                <w:lang w:eastAsia="zh-CN"/>
              </w:rPr>
              <w:t xml:space="preserve"> -</w:t>
            </w:r>
            <w:r>
              <w:rPr>
                <w:sz w:val="22"/>
                <w:szCs w:val="22"/>
                <w:lang w:eastAsia="zh-CN"/>
              </w:rPr>
              <w:t>50</w:t>
            </w:r>
            <w:r>
              <w:rPr>
                <w:rFonts w:hint="eastAsia"/>
                <w:sz w:val="22"/>
                <w:szCs w:val="22"/>
                <w:lang w:eastAsia="zh-CN"/>
              </w:rPr>
              <w:t>%</w:t>
            </w:r>
            <w:r>
              <w:rPr>
                <w:sz w:val="22"/>
                <w:szCs w:val="22"/>
                <w:lang w:eastAsia="zh-CN"/>
              </w:rPr>
              <w:t>;</w:t>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SILAM</w:t>
            </w:r>
          </w:p>
          <w:p w:rsidR="00F6191F" w:rsidRDefault="00E5706D">
            <w:pPr>
              <w:pStyle w:val="ListParagraph"/>
              <w:ind w:left="0"/>
              <w:rPr>
                <w:b w:val="0"/>
                <w:bCs w:val="0"/>
                <w:sz w:val="22"/>
                <w:szCs w:val="22"/>
              </w:rPr>
            </w:pPr>
            <w:r>
              <w:rPr>
                <w:sz w:val="22"/>
                <w:szCs w:val="22"/>
              </w:rPr>
              <w:t>FMI</w:t>
            </w:r>
          </w:p>
        </w:tc>
        <w:tc>
          <w:tcPr>
            <w:tcW w:w="1296"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 xml:space="preserve">MACCity with excluded Shippig, </w:t>
            </w:r>
            <w:r>
              <w:rPr>
                <w:sz w:val="22"/>
                <w:szCs w:val="22"/>
                <w:lang w:eastAsia="zh-CN"/>
              </w:rPr>
              <w:lastRenderedPageBreak/>
              <w:t>STEAM2015 Shipping,</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PanHam for Coarse PM</w:t>
            </w:r>
          </w:p>
        </w:tc>
        <w:tc>
          <w:tcPr>
            <w:tcW w:w="1297"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lastRenderedPageBreak/>
              <w:t>SILAM Scheme</w:t>
            </w:r>
            <w:r>
              <w:rPr>
                <w:sz w:val="22"/>
                <w:szCs w:val="22"/>
                <w:lang w:eastAsia="zh-CN"/>
              </w:rPr>
              <w:t xml:space="preserve"> after Zender (2003)</w:t>
            </w:r>
          </w:p>
        </w:tc>
        <w:tc>
          <w:tcPr>
            <w:tcW w:w="1297"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rFonts w:hint="eastAsia"/>
                <w:sz w:val="22"/>
                <w:szCs w:val="22"/>
                <w:lang w:eastAsia="zh-CN"/>
              </w:rPr>
              <w:t>SILAM Scheme</w:t>
            </w:r>
            <w:r>
              <w:rPr>
                <w:sz w:val="22"/>
                <w:szCs w:val="22"/>
                <w:lang w:eastAsia="zh-CN"/>
              </w:rPr>
              <w:t xml:space="preserve"> Sofiev et al (2012)</w:t>
            </w:r>
          </w:p>
        </w:tc>
        <w:tc>
          <w:tcPr>
            <w:tcW w:w="1296"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MEGAN-MACC</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p>
        </w:tc>
        <w:tc>
          <w:tcPr>
            <w:tcW w:w="1297"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GFAS (gases),</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IS4FIRES (PM)</w:t>
            </w:r>
          </w:p>
        </w:tc>
        <w:tc>
          <w:tcPr>
            <w:tcW w:w="1405"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Diurnal profiles by sector</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EMEP</w:t>
            </w:r>
          </w:p>
          <w:p w:rsidR="00F6191F" w:rsidRDefault="00E5706D">
            <w:pPr>
              <w:pStyle w:val="ListParagraph"/>
              <w:ind w:left="0"/>
              <w:rPr>
                <w:b w:val="0"/>
                <w:bCs w:val="0"/>
                <w:sz w:val="22"/>
                <w:szCs w:val="22"/>
              </w:rPr>
            </w:pPr>
            <w:r>
              <w:rPr>
                <w:sz w:val="22"/>
                <w:szCs w:val="22"/>
              </w:rPr>
              <w:t>MET Norway</w:t>
            </w:r>
          </w:p>
        </w:tc>
        <w:tc>
          <w:tcPr>
            <w:tcW w:w="1296"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PanHam</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(HTAP</w:t>
            </w:r>
            <w:r>
              <w:rPr>
                <w:sz w:val="22"/>
                <w:szCs w:val="22"/>
                <w:lang w:eastAsia="zh-CN"/>
              </w:rPr>
              <w:t xml:space="preserve"> </w:t>
            </w:r>
            <w:r>
              <w:rPr>
                <w:rFonts w:hint="eastAsia"/>
                <w:sz w:val="22"/>
                <w:szCs w:val="22"/>
                <w:lang w:eastAsia="zh-CN"/>
              </w:rPr>
              <w:t>+</w:t>
            </w:r>
            <w:r>
              <w:rPr>
                <w:sz w:val="22"/>
                <w:szCs w:val="22"/>
                <w:lang w:eastAsia="zh-CN"/>
              </w:rPr>
              <w:t xml:space="preserve"> MEIC2012)</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tc>
        <w:tc>
          <w:tcPr>
            <w:tcW w:w="1297"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none</w:t>
            </w:r>
          </w:p>
        </w:tc>
        <w:tc>
          <w:tcPr>
            <w:tcW w:w="1297"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 xml:space="preserve">Tsyro et al. </w:t>
            </w:r>
            <w:r>
              <w:rPr>
                <w:sz w:val="22"/>
                <w:szCs w:val="22"/>
                <w:lang w:eastAsia="zh-CN"/>
              </w:rPr>
              <w:t>(2011)</w:t>
            </w:r>
          </w:p>
        </w:tc>
        <w:tc>
          <w:tcPr>
            <w:tcW w:w="1296"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EMEP scheme</w:t>
            </w:r>
          </w:p>
        </w:tc>
        <w:tc>
          <w:tcPr>
            <w:tcW w:w="1297"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GFAS</w:t>
            </w:r>
          </w:p>
        </w:tc>
        <w:tc>
          <w:tcPr>
            <w:tcW w:w="1405"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none</w:t>
            </w:r>
            <w:r>
              <w:rPr>
                <w:rStyle w:val="FootnoteReference"/>
                <w:sz w:val="22"/>
                <w:szCs w:val="22"/>
                <w:lang w:eastAsia="zh-CN"/>
              </w:rPr>
              <w:footnoteReference w:id="1"/>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LOTOS-EUROS</w:t>
            </w:r>
          </w:p>
        </w:tc>
        <w:tc>
          <w:tcPr>
            <w:tcW w:w="1296"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EDGAR</w:t>
            </w:r>
            <w:r>
              <w:rPr>
                <w:sz w:val="22"/>
                <w:szCs w:val="22"/>
                <w:lang w:eastAsia="zh-CN"/>
              </w:rPr>
              <w:t xml:space="preserve"> </w:t>
            </w:r>
            <w:r>
              <w:rPr>
                <w:rFonts w:hint="eastAsia"/>
                <w:sz w:val="22"/>
                <w:szCs w:val="22"/>
                <w:lang w:eastAsia="zh-CN"/>
              </w:rPr>
              <w:t>+</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MEIC2010</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tc>
        <w:tc>
          <w:tcPr>
            <w:tcW w:w="1297"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online</w:t>
            </w:r>
          </w:p>
        </w:tc>
        <w:tc>
          <w:tcPr>
            <w:tcW w:w="1297"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online</w:t>
            </w:r>
          </w:p>
        </w:tc>
        <w:tc>
          <w:tcPr>
            <w:tcW w:w="1296"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MEGAN</w:t>
            </w:r>
          </w:p>
        </w:tc>
        <w:tc>
          <w:tcPr>
            <w:tcW w:w="1297"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GFAS</w:t>
            </w:r>
          </w:p>
        </w:tc>
        <w:tc>
          <w:tcPr>
            <w:tcW w:w="1405"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Anthro NOx emission</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 xml:space="preserve"> -35</w:t>
            </w:r>
            <w:r>
              <w:rPr>
                <w:rFonts w:hint="eastAsia"/>
                <w:sz w:val="22"/>
                <w:szCs w:val="22"/>
                <w:lang w:eastAsia="zh-CN"/>
              </w:rPr>
              <w:t>%</w:t>
            </w:r>
            <w:r>
              <w:rPr>
                <w:sz w:val="22"/>
                <w:szCs w:val="22"/>
                <w:lang w:eastAsia="zh-CN"/>
              </w:rPr>
              <w:t>;</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 xml:space="preserve">Anthro SO2 emission </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lang w:eastAsia="zh-CN"/>
              </w:rPr>
              <w:t>-50%</w:t>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WRF-Chem</w:t>
            </w:r>
          </w:p>
          <w:p w:rsidR="00F6191F" w:rsidRDefault="00E5706D">
            <w:pPr>
              <w:pStyle w:val="ListParagraph"/>
              <w:ind w:left="0"/>
              <w:rPr>
                <w:b w:val="0"/>
                <w:bCs w:val="0"/>
                <w:sz w:val="22"/>
                <w:szCs w:val="22"/>
              </w:rPr>
            </w:pPr>
            <w:r>
              <w:rPr>
                <w:sz w:val="22"/>
                <w:szCs w:val="22"/>
              </w:rPr>
              <w:t>SMS</w:t>
            </w:r>
          </w:p>
        </w:tc>
        <w:tc>
          <w:tcPr>
            <w:tcW w:w="1296"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MEIC 2010</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p>
        </w:tc>
        <w:tc>
          <w:tcPr>
            <w:tcW w:w="1297"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W</w:t>
            </w:r>
            <w:r>
              <w:rPr>
                <w:rFonts w:hint="eastAsia"/>
                <w:sz w:val="22"/>
                <w:szCs w:val="22"/>
                <w:lang w:eastAsia="zh-CN"/>
              </w:rPr>
              <w:t xml:space="preserve">ith </w:t>
            </w:r>
            <w:r>
              <w:rPr>
                <w:sz w:val="22"/>
                <w:szCs w:val="22"/>
                <w:lang w:eastAsia="zh-CN"/>
              </w:rPr>
              <w:t>dust BC from WRF-Dust</w:t>
            </w:r>
          </w:p>
        </w:tc>
        <w:tc>
          <w:tcPr>
            <w:tcW w:w="1297"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none</w:t>
            </w:r>
          </w:p>
        </w:tc>
        <w:tc>
          <w:tcPr>
            <w:tcW w:w="1296"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MEGAN</w:t>
            </w:r>
            <w:r>
              <w:rPr>
                <w:sz w:val="22"/>
                <w:szCs w:val="22"/>
                <w:lang w:eastAsia="zh-CN"/>
              </w:rPr>
              <w:t xml:space="preserve"> v</w:t>
            </w:r>
            <w:r>
              <w:rPr>
                <w:rFonts w:hint="eastAsia"/>
                <w:sz w:val="22"/>
                <w:szCs w:val="22"/>
                <w:lang w:eastAsia="zh-CN"/>
              </w:rPr>
              <w:t>2</w:t>
            </w:r>
          </w:p>
        </w:tc>
        <w:tc>
          <w:tcPr>
            <w:tcW w:w="1297"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none</w:t>
            </w:r>
          </w:p>
        </w:tc>
        <w:tc>
          <w:tcPr>
            <w:tcW w:w="1405"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Diurnal profiles by sector;</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Anthro NOx emission</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 xml:space="preserve"> -</w:t>
            </w:r>
            <w:r>
              <w:rPr>
                <w:rFonts w:hint="eastAsia"/>
                <w:sz w:val="22"/>
                <w:szCs w:val="22"/>
                <w:lang w:eastAsia="zh-CN"/>
              </w:rPr>
              <w:t>4</w:t>
            </w:r>
            <w:r>
              <w:rPr>
                <w:sz w:val="22"/>
                <w:szCs w:val="22"/>
                <w:lang w:eastAsia="zh-CN"/>
              </w:rPr>
              <w:t>0</w:t>
            </w:r>
            <w:r>
              <w:rPr>
                <w:rFonts w:hint="eastAsia"/>
                <w:sz w:val="22"/>
                <w:szCs w:val="22"/>
                <w:lang w:eastAsia="zh-CN"/>
              </w:rPr>
              <w:t>%</w:t>
            </w:r>
            <w:r>
              <w:rPr>
                <w:sz w:val="22"/>
                <w:szCs w:val="22"/>
                <w:lang w:eastAsia="zh-CN"/>
              </w:rPr>
              <w:t>;</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Anthro SO</w:t>
            </w:r>
            <w:r>
              <w:rPr>
                <w:sz w:val="22"/>
                <w:szCs w:val="22"/>
                <w:vertAlign w:val="subscript"/>
                <w:lang w:eastAsia="zh-CN"/>
              </w:rPr>
              <w:t>2</w:t>
            </w:r>
            <w:r>
              <w:rPr>
                <w:sz w:val="22"/>
                <w:szCs w:val="22"/>
                <w:lang w:eastAsia="zh-CN"/>
              </w:rPr>
              <w:t xml:space="preserve"> emission </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w:t>
            </w:r>
            <w:r>
              <w:rPr>
                <w:rFonts w:hint="eastAsia"/>
                <w:sz w:val="22"/>
                <w:szCs w:val="22"/>
                <w:lang w:eastAsia="zh-CN"/>
              </w:rPr>
              <w:t>6</w:t>
            </w:r>
            <w:r>
              <w:rPr>
                <w:sz w:val="22"/>
                <w:szCs w:val="22"/>
                <w:lang w:eastAsia="zh-CN"/>
              </w:rPr>
              <w:t>0%</w:t>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WRF-CMAQ</w:t>
            </w:r>
          </w:p>
          <w:p w:rsidR="00F6191F" w:rsidRDefault="00E5706D">
            <w:pPr>
              <w:pStyle w:val="ListParagraph"/>
              <w:ind w:left="0"/>
              <w:rPr>
                <w:b w:val="0"/>
                <w:bCs w:val="0"/>
                <w:sz w:val="22"/>
                <w:szCs w:val="22"/>
              </w:rPr>
            </w:pPr>
            <w:r>
              <w:rPr>
                <w:sz w:val="22"/>
                <w:szCs w:val="22"/>
              </w:rPr>
              <w:t>NJU</w:t>
            </w:r>
          </w:p>
        </w:tc>
        <w:tc>
          <w:tcPr>
            <w:tcW w:w="1296"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MIX</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p>
        </w:tc>
        <w:tc>
          <w:tcPr>
            <w:tcW w:w="1297"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WRF-Dust</w:t>
            </w:r>
          </w:p>
        </w:tc>
        <w:tc>
          <w:tcPr>
            <w:tcW w:w="1297"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rPr>
                <w:rFonts w:hint="eastAsia"/>
                <w:sz w:val="22"/>
                <w:szCs w:val="22"/>
                <w:lang w:eastAsia="zh-CN"/>
              </w:rPr>
              <w:t>CMAQ scheme</w:t>
            </w:r>
          </w:p>
        </w:tc>
        <w:tc>
          <w:tcPr>
            <w:tcW w:w="1296"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rPr>
            </w:pPr>
            <w:r>
              <w:t>MEGAN v2.04</w:t>
            </w:r>
          </w:p>
        </w:tc>
        <w:tc>
          <w:tcPr>
            <w:tcW w:w="1297"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none</w:t>
            </w:r>
          </w:p>
        </w:tc>
        <w:tc>
          <w:tcPr>
            <w:tcW w:w="1405" w:type="dxa"/>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A</w:t>
            </w:r>
            <w:r>
              <w:rPr>
                <w:rFonts w:hint="eastAsia"/>
                <w:sz w:val="22"/>
                <w:szCs w:val="22"/>
                <w:lang w:eastAsia="zh-CN"/>
              </w:rPr>
              <w:t>djusted by performance of last week</w:t>
            </w:r>
          </w:p>
        </w:tc>
      </w:tr>
      <w:tr w:rsidR="00F6191F" w:rsidTr="00F6191F">
        <w:tc>
          <w:tcPr>
            <w:cnfStyle w:val="001000000000" w:firstRow="0" w:lastRow="0" w:firstColumn="1" w:lastColumn="0" w:oddVBand="0" w:evenVBand="0" w:oddHBand="0" w:evenHBand="0" w:firstRowFirstColumn="0" w:firstRowLastColumn="0" w:lastRowFirstColumn="0" w:lastRowLastColumn="0"/>
            <w:tcW w:w="1400" w:type="dxa"/>
          </w:tcPr>
          <w:p w:rsidR="00F6191F" w:rsidRDefault="00E5706D">
            <w:pPr>
              <w:pStyle w:val="ListParagraph"/>
              <w:ind w:left="0"/>
              <w:rPr>
                <w:b w:val="0"/>
                <w:bCs w:val="0"/>
                <w:sz w:val="22"/>
                <w:szCs w:val="22"/>
              </w:rPr>
            </w:pPr>
            <w:r>
              <w:rPr>
                <w:sz w:val="22"/>
                <w:szCs w:val="22"/>
              </w:rPr>
              <w:t>WARMS-CMAQ</w:t>
            </w:r>
          </w:p>
          <w:p w:rsidR="00F6191F" w:rsidRDefault="00E5706D">
            <w:pPr>
              <w:pStyle w:val="ListParagraph"/>
              <w:ind w:left="0"/>
              <w:rPr>
                <w:b w:val="0"/>
                <w:bCs w:val="0"/>
                <w:sz w:val="22"/>
                <w:szCs w:val="22"/>
              </w:rPr>
            </w:pPr>
            <w:r>
              <w:rPr>
                <w:sz w:val="22"/>
                <w:szCs w:val="22"/>
              </w:rPr>
              <w:t>SMS</w:t>
            </w:r>
          </w:p>
        </w:tc>
        <w:tc>
          <w:tcPr>
            <w:tcW w:w="1296"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HTAPv2</w:t>
            </w: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p>
          <w:p w:rsidR="00F6191F" w:rsidRDefault="00F6191F">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p>
        </w:tc>
        <w:tc>
          <w:tcPr>
            <w:tcW w:w="1297"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none</w:t>
            </w:r>
          </w:p>
        </w:tc>
        <w:tc>
          <w:tcPr>
            <w:tcW w:w="1297"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CMAQ scheme</w:t>
            </w:r>
          </w:p>
        </w:tc>
        <w:tc>
          <w:tcPr>
            <w:tcW w:w="1296"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MEGAN v2.10</w:t>
            </w:r>
          </w:p>
        </w:tc>
        <w:tc>
          <w:tcPr>
            <w:tcW w:w="1297"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rFonts w:hint="eastAsia"/>
                <w:sz w:val="22"/>
                <w:szCs w:val="22"/>
                <w:lang w:eastAsia="zh-CN"/>
              </w:rPr>
              <w:t>none</w:t>
            </w:r>
          </w:p>
        </w:tc>
        <w:tc>
          <w:tcPr>
            <w:tcW w:w="1405" w:type="dxa"/>
            <w:shd w:val="clear" w:color="auto" w:fill="D8D8D8" w:themeFill="background1" w:themeFillShade="D8"/>
          </w:tcPr>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Diurnal profiles by sector;</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 xml:space="preserve">Anthro NOx emission </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 xml:space="preserve"> -50%;</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Anthro SO</w:t>
            </w:r>
            <w:r>
              <w:rPr>
                <w:sz w:val="22"/>
                <w:szCs w:val="22"/>
                <w:vertAlign w:val="subscript"/>
                <w:lang w:eastAsia="zh-CN"/>
              </w:rPr>
              <w:t>2</w:t>
            </w:r>
            <w:r>
              <w:rPr>
                <w:sz w:val="22"/>
                <w:szCs w:val="22"/>
                <w:lang w:eastAsia="zh-CN"/>
              </w:rPr>
              <w:t xml:space="preserve"> emission </w:t>
            </w:r>
          </w:p>
          <w:p w:rsidR="00F6191F" w:rsidRDefault="00E5706D">
            <w:pPr>
              <w:pStyle w:val="ListParagraph"/>
              <w:ind w:left="0"/>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-70%</w:t>
            </w:r>
          </w:p>
        </w:tc>
      </w:tr>
    </w:tbl>
    <w:p w:rsidR="00F6191F" w:rsidRDefault="00F6191F">
      <w:pPr>
        <w:pStyle w:val="ListParagraph"/>
        <w:ind w:left="0"/>
        <w:rPr>
          <w:b/>
        </w:rPr>
      </w:pPr>
    </w:p>
    <w:p w:rsidR="00F6191F" w:rsidRDefault="00F6191F">
      <w:pPr>
        <w:rPr>
          <w:b/>
        </w:rPr>
      </w:pPr>
    </w:p>
    <w:p w:rsidR="00F6191F" w:rsidRDefault="00E5706D">
      <w:pPr>
        <w:jc w:val="both"/>
        <w:rPr>
          <w:b/>
        </w:rPr>
      </w:pPr>
      <w:r>
        <w:rPr>
          <w:b/>
        </w:rPr>
        <w:t>4. Operational Forecasts provided by the MarcoPolo-Panda System.</w:t>
      </w:r>
    </w:p>
    <w:p w:rsidR="00F6191F" w:rsidRDefault="00F6191F">
      <w:pPr>
        <w:jc w:val="both"/>
        <w:rPr>
          <w:b/>
        </w:rPr>
      </w:pPr>
    </w:p>
    <w:p w:rsidR="00F6191F" w:rsidRDefault="00E5706D">
      <w:pPr>
        <w:jc w:val="both"/>
        <w:rPr>
          <w:rFonts w:eastAsia="Times New Roman" w:cs="Times New Roman"/>
        </w:rPr>
      </w:pPr>
      <w:r>
        <w:t xml:space="preserve">As stated above, the MarcoPolo-Panda system is used operationally to provide daily forecast of air quality in eastern China. In its present configuration (Figure 2), the system is based on 9 models, which are executed independently on the computing system available in each respective partner institution. The outputs of the models are locally processed and the surface concentrations of the key chemical species are forwarded to a central database operated by the Royal Netherlands Meteorological Institute (KNMI). Ensemble mean and </w:t>
      </w:r>
      <w:r>
        <w:lastRenderedPageBreak/>
        <w:t>median concentrations are derived and, in addition to the forecasts from individual models, are posted on a dedicated website (</w:t>
      </w:r>
      <w:hyperlink r:id="rId36" w:history="1">
        <w:r>
          <w:rPr>
            <w:rStyle w:val="Hyperlink"/>
            <w:color w:val="auto"/>
            <w:u w:val="none"/>
          </w:rPr>
          <w:t>www.marcopolo-panda.eu</w:t>
        </w:r>
      </w:hyperlink>
      <w:r>
        <w:t>) and Chinese mirror site (</w:t>
      </w:r>
      <w:hyperlink r:id="rId37" w:history="1">
        <w:r>
          <w:rPr>
            <w:rStyle w:val="Hyperlink"/>
            <w:rFonts w:ascii="Arial" w:eastAsia="Times New Roman" w:hAnsi="Arial" w:cs="Arial"/>
            <w:color w:val="auto"/>
            <w:sz w:val="21"/>
            <w:szCs w:val="21"/>
            <w:u w:val="none"/>
          </w:rPr>
          <w:t>http://116.62.195.108/</w:t>
        </w:r>
      </w:hyperlink>
      <w:r>
        <w:rPr>
          <w:rFonts w:eastAsia="Times New Roman" w:cs="Times New Roman"/>
        </w:rPr>
        <w:t>)</w:t>
      </w:r>
      <w:r>
        <w:t>. For the 37 Chinese cities with a population above 3 million in 2010, the predicted concentration values of ozone, NO</w:t>
      </w:r>
      <w:r>
        <w:rPr>
          <w:vertAlign w:val="subscript"/>
        </w:rPr>
        <w:t>2</w:t>
      </w:r>
      <w:r>
        <w:t xml:space="preserve">, PM2.5 and PM10 are compared each hour to local measurements reported by the Chinese monitoring network (www.pm25.int). </w:t>
      </w:r>
      <w:r>
        <w:rPr>
          <w:rFonts w:ascii="Calibri" w:eastAsiaTheme="minorHAnsi" w:hAnsi="Calibri"/>
        </w:rPr>
        <w:t>Observations for each city represent the mean of several measurements performed within one city (usually 5-12 stations). The data are averaged to city-centre coordinates.</w:t>
      </w:r>
    </w:p>
    <w:p w:rsidR="00F6191F" w:rsidRDefault="00F6191F">
      <w:pPr>
        <w:jc w:val="both"/>
      </w:pPr>
    </w:p>
    <w:p w:rsidR="00F6191F" w:rsidRDefault="00E5706D">
      <w:pPr>
        <w:jc w:val="both"/>
      </w:pPr>
      <w:r>
        <w:t>We start by presenting a few examples of randomly selected forecasts as provided by the MarcoPolo-Panda system to illustrate the diversity among the models and the differences obtained under different situations. The performance of each individual model varies from day to day because it strongly depends on the individual weather forecast (meteorological situation, cloudiness, precipitation, etc.) that is adopted to simulate transport, photochemistry and deposition.  Therefore this first description of model forecasts does not provide reliable information on the accuracy of the forecasts provided by the different models included in the ensemble.</w:t>
      </w:r>
    </w:p>
    <w:p w:rsidR="00F6191F" w:rsidRDefault="00F6191F">
      <w:pPr>
        <w:jc w:val="both"/>
      </w:pPr>
    </w:p>
    <w:p w:rsidR="00F6191F" w:rsidRDefault="00E5706D">
      <w:pPr>
        <w:jc w:val="center"/>
      </w:pPr>
      <w:r>
        <w:rPr>
          <w:noProof/>
          <w:lang w:val="en-US" w:eastAsia="zh-CN"/>
        </w:rPr>
        <w:drawing>
          <wp:inline distT="0" distB="0" distL="0" distR="0">
            <wp:extent cx="5473700" cy="3581400"/>
            <wp:effectExtent l="0" t="0" r="1270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pic:cNvPicPr>
                      <a:picLocks noChangeAspect="1" noChangeArrowheads="1"/>
                    </pic:cNvPicPr>
                  </pic:nvPicPr>
                  <pic:blipFill>
                    <a:blip r:embed="rId38">
                      <a:extLst>
                        <a:ext uri="{28A0092B-C50C-407E-A947-70E740481C1C}">
                          <a14:useLocalDpi xmlns:a14="http://schemas.microsoft.com/office/drawing/2010/main" val="0"/>
                        </a:ext>
                      </a:extLst>
                    </a:blip>
                    <a:srcRect t="12767"/>
                    <a:stretch>
                      <a:fillRect/>
                    </a:stretch>
                  </pic:blipFill>
                  <pic:spPr>
                    <a:xfrm>
                      <a:off x="0" y="0"/>
                      <a:ext cx="5474713" cy="3581808"/>
                    </a:xfrm>
                    <a:prstGeom prst="rect">
                      <a:avLst/>
                    </a:prstGeom>
                    <a:noFill/>
                    <a:ln>
                      <a:noFill/>
                    </a:ln>
                  </pic:spPr>
                </pic:pic>
              </a:graphicData>
            </a:graphic>
          </wp:inline>
        </w:drawing>
      </w:r>
    </w:p>
    <w:p w:rsidR="00F6191F" w:rsidRDefault="00F6191F">
      <w:pPr>
        <w:jc w:val="both"/>
      </w:pPr>
    </w:p>
    <w:p w:rsidR="00F6191F" w:rsidRDefault="00E5706D">
      <w:pPr>
        <w:jc w:val="both"/>
        <w:rPr>
          <w:sz w:val="22"/>
          <w:szCs w:val="22"/>
        </w:rPr>
      </w:pPr>
      <w:r>
        <w:rPr>
          <w:b/>
          <w:sz w:val="22"/>
          <w:szCs w:val="22"/>
        </w:rPr>
        <w:t>Figure 2.</w:t>
      </w:r>
      <w:r>
        <w:rPr>
          <w:sz w:val="22"/>
          <w:szCs w:val="22"/>
        </w:rPr>
        <w:t xml:space="preserve"> Structure of the operational multi-model forecast system with the 9 model components. Postprocessed forecasts for the next 3 days provided by each model are sent to a central database maintained by the Royal </w:t>
      </w:r>
      <w:r>
        <w:rPr>
          <w:sz w:val="22"/>
          <w:szCs w:val="22"/>
          <w:lang w:eastAsia="zh-CN"/>
        </w:rPr>
        <w:t>Netherlands Meteorological Institute</w:t>
      </w:r>
      <w:r>
        <w:rPr>
          <w:sz w:val="22"/>
          <w:szCs w:val="22"/>
        </w:rPr>
        <w:t xml:space="preserve"> (KNMI). Ensemble medians and means are calculated and information (predicted daily variations of surface concentrations for 37 major Chinese cities, and maps of predicted diurnal mean surface concentrations) and are posted on the http://</w:t>
      </w:r>
      <w:hyperlink r:id="rId39" w:history="1">
        <w:r>
          <w:rPr>
            <w:rStyle w:val="Hyperlink"/>
            <w:color w:val="auto"/>
            <w:sz w:val="22"/>
            <w:szCs w:val="22"/>
            <w:u w:val="none"/>
          </w:rPr>
          <w:t>www.marcopolo-panda.eu</w:t>
        </w:r>
      </w:hyperlink>
      <w:r>
        <w:rPr>
          <w:sz w:val="22"/>
          <w:szCs w:val="22"/>
        </w:rPr>
        <w:t xml:space="preserve">/forecast website.  Users in China are redirected to the mirror website maintained by SMS </w:t>
      </w:r>
      <w:r>
        <w:t>(</w:t>
      </w:r>
      <w:hyperlink r:id="rId40" w:history="1">
        <w:r>
          <w:rPr>
            <w:rStyle w:val="Hyperlink"/>
            <w:rFonts w:ascii="Arial" w:eastAsia="Times New Roman" w:hAnsi="Arial" w:cs="Arial"/>
            <w:color w:val="auto"/>
            <w:sz w:val="21"/>
            <w:szCs w:val="21"/>
            <w:u w:val="none"/>
          </w:rPr>
          <w:t>http://116.62.195.108/</w:t>
        </w:r>
      </w:hyperlink>
      <w:r>
        <w:rPr>
          <w:rFonts w:eastAsia="Times New Roman" w:cs="Times New Roman"/>
        </w:rPr>
        <w:t>)</w:t>
      </w:r>
      <w:r>
        <w:rPr>
          <w:sz w:val="22"/>
          <w:szCs w:val="22"/>
        </w:rPr>
        <w:t>. The forecasts are compared with the median and mean observations provided by monitoring stations at different locations of the 37 cities.</w:t>
      </w:r>
    </w:p>
    <w:p w:rsidR="00F6191F" w:rsidRDefault="00F6191F">
      <w:pPr>
        <w:jc w:val="both"/>
      </w:pPr>
    </w:p>
    <w:p w:rsidR="00F6191F" w:rsidRDefault="00E5706D">
      <w:pPr>
        <w:jc w:val="both"/>
        <w:rPr>
          <w:b/>
          <w:i/>
        </w:rPr>
      </w:pPr>
      <w:r>
        <w:lastRenderedPageBreak/>
        <w:t>The first example presents a relatively successful forecast made for the coastal city of Xiamen in southeast China on 13 October 2017. The panels in Figure 3 show the excellent agreement in the case of NO</w:t>
      </w:r>
      <w:r>
        <w:rPr>
          <w:vertAlign w:val="subscript"/>
        </w:rPr>
        <w:t>2</w:t>
      </w:r>
      <w:r>
        <w:t>, ozone and PM2.5, suggesting that the median values derived from the individual models capture well the features associated with the meteorological situation, atmospheric transport and with the emissions in the region on that particular day. The situation corresponds to very clean conditions with PM2.5 and NO</w:t>
      </w:r>
      <w:r>
        <w:rPr>
          <w:vertAlign w:val="subscript"/>
        </w:rPr>
        <w:t>2</w:t>
      </w:r>
      <w:r>
        <w:t xml:space="preserve"> concentrations of the order of 10 - 15 </w:t>
      </w:r>
      <w:r>
        <w:rPr>
          <w:rFonts w:ascii="Calibri" w:hAnsi="Calibri"/>
        </w:rPr>
        <w:t>μ</w:t>
      </w:r>
      <w:r>
        <w:t>g m</w:t>
      </w:r>
      <w:r>
        <w:rPr>
          <w:vertAlign w:val="superscript"/>
        </w:rPr>
        <w:t>-3</w:t>
      </w:r>
      <w:r>
        <w:t xml:space="preserve">. The predicted ozone concentration ranges from 70 - 90 </w:t>
      </w:r>
      <w:r>
        <w:rPr>
          <w:rFonts w:ascii="Calibri" w:hAnsi="Calibri"/>
        </w:rPr>
        <w:t>μ</w:t>
      </w:r>
      <w:r>
        <w:t>g m</w:t>
      </w:r>
      <w:r>
        <w:rPr>
          <w:vertAlign w:val="superscript"/>
        </w:rPr>
        <w:t>-3</w:t>
      </w:r>
      <w:r>
        <w:t xml:space="preserve"> (35 to 45 ppbv). Interestingly, however, the predicted PM10 concentrations are underestimated during most of the day. The model predicts concentrations close to 20-25 </w:t>
      </w:r>
      <w:r>
        <w:rPr>
          <w:rFonts w:ascii="Calibri" w:hAnsi="Calibri"/>
        </w:rPr>
        <w:t>μ</w:t>
      </w:r>
      <w:r>
        <w:t>g m</w:t>
      </w:r>
      <w:r>
        <w:rPr>
          <w:vertAlign w:val="superscript"/>
        </w:rPr>
        <w:t>-3</w:t>
      </w:r>
      <w:r>
        <w:t xml:space="preserve">, while the measurements indicate that the concentration reached values as high as 30-40 </w:t>
      </w:r>
      <w:r>
        <w:rPr>
          <w:rFonts w:ascii="Calibri" w:hAnsi="Calibri"/>
        </w:rPr>
        <w:t>μ</w:t>
      </w:r>
      <w:r>
        <w:t>g m</w:t>
      </w:r>
      <w:r>
        <w:rPr>
          <w:vertAlign w:val="superscript"/>
        </w:rPr>
        <w:t>-3</w:t>
      </w:r>
      <w:r>
        <w:t xml:space="preserve">. The presence on October 13 of a strong wind flow in the strait between Mainland China and Taiwan and associated with the Khanun tropical depression present on this particular day west of the Philippines was likely a source of elevated sea salt emissions and dust mobilization that may not have been properly captured by the models. Under such strong meteorological disturbance, the forecast could be strongly resolution dependent. </w:t>
      </w:r>
    </w:p>
    <w:p w:rsidR="00F6191F" w:rsidRDefault="00F6191F"/>
    <w:p w:rsidR="00F6191F" w:rsidRDefault="00E5706D">
      <w:r>
        <w:rPr>
          <w:noProof/>
          <w:lang w:val="en-US" w:eastAsia="zh-CN"/>
        </w:rPr>
        <w:drawing>
          <wp:inline distT="0" distB="0" distL="0" distR="0">
            <wp:extent cx="2713355" cy="2298700"/>
            <wp:effectExtent l="0" t="0" r="4445" b="0"/>
            <wp:docPr id="6" name="Picture 6" descr="Macintosh HD:Users:gpbrasseur:Desktop:Screen Shot 2017-10-16 at 3.10.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cintosh HD:Users:gpbrasseur:Desktop:Screen Shot 2017-10-16 at 3.10.07 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713829" cy="2298700"/>
                    </a:xfrm>
                    <a:prstGeom prst="rect">
                      <a:avLst/>
                    </a:prstGeom>
                    <a:noFill/>
                    <a:ln>
                      <a:noFill/>
                    </a:ln>
                  </pic:spPr>
                </pic:pic>
              </a:graphicData>
            </a:graphic>
          </wp:inline>
        </w:drawing>
      </w:r>
      <w:r>
        <w:rPr>
          <w:noProof/>
          <w:lang w:val="en-US" w:eastAsia="zh-CN"/>
        </w:rPr>
        <w:drawing>
          <wp:inline distT="0" distB="0" distL="0" distR="0">
            <wp:extent cx="2658110" cy="2282825"/>
            <wp:effectExtent l="0" t="0" r="8890" b="3175"/>
            <wp:docPr id="7" name="Picture 7" descr="Macintosh HD:Users:gpbrasseur:Desktop:Screen Shot 2017-10-16 at 3.10.2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cintosh HD:Users:gpbrasseur:Desktop:Screen Shot 2017-10-16 at 3.10.24 P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658893" cy="2283449"/>
                    </a:xfrm>
                    <a:prstGeom prst="rect">
                      <a:avLst/>
                    </a:prstGeom>
                    <a:noFill/>
                    <a:ln>
                      <a:noFill/>
                    </a:ln>
                  </pic:spPr>
                </pic:pic>
              </a:graphicData>
            </a:graphic>
          </wp:inline>
        </w:drawing>
      </w:r>
      <w:r>
        <w:rPr>
          <w:noProof/>
          <w:lang w:val="en-US" w:eastAsia="zh-CN"/>
        </w:rPr>
        <w:drawing>
          <wp:inline distT="0" distB="0" distL="0" distR="0">
            <wp:extent cx="2673985" cy="2285365"/>
            <wp:effectExtent l="0" t="0" r="0" b="635"/>
            <wp:docPr id="8" name="Picture 8" descr="Macintosh HD:Users:gpbrasseur:Desktop:Screen Shot 2017-10-16 at 3.09.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cintosh HD:Users:gpbrasseur:Desktop:Screen Shot 2017-10-16 at 3.09.14 P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674202" cy="2286011"/>
                    </a:xfrm>
                    <a:prstGeom prst="rect">
                      <a:avLst/>
                    </a:prstGeom>
                    <a:noFill/>
                    <a:ln>
                      <a:noFill/>
                    </a:ln>
                  </pic:spPr>
                </pic:pic>
              </a:graphicData>
            </a:graphic>
          </wp:inline>
        </w:drawing>
      </w:r>
      <w:r>
        <w:rPr>
          <w:noProof/>
          <w:lang w:val="en-US" w:eastAsia="zh-CN"/>
        </w:rPr>
        <w:drawing>
          <wp:inline distT="0" distB="0" distL="0" distR="0">
            <wp:extent cx="2698750" cy="2359660"/>
            <wp:effectExtent l="0" t="0" r="0" b="2540"/>
            <wp:docPr id="11" name="Picture 11" descr="Macintosh HD:Users:gpbrasseur:Desktop:Screen Shot 2017-10-16 at 3.09.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cintosh HD:Users:gpbrasseur:Desktop:Screen Shot 2017-10-16 at 3.09.42 PM.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698764" cy="2359850"/>
                    </a:xfrm>
                    <a:prstGeom prst="rect">
                      <a:avLst/>
                    </a:prstGeom>
                    <a:noFill/>
                    <a:ln>
                      <a:noFill/>
                    </a:ln>
                  </pic:spPr>
                </pic:pic>
              </a:graphicData>
            </a:graphic>
          </wp:inline>
        </w:drawing>
      </w:r>
    </w:p>
    <w:p w:rsidR="00F6191F" w:rsidRDefault="00F6191F"/>
    <w:p w:rsidR="00F6191F" w:rsidRDefault="00E5706D">
      <w:pPr>
        <w:jc w:val="both"/>
        <w:rPr>
          <w:sz w:val="22"/>
          <w:szCs w:val="22"/>
        </w:rPr>
      </w:pPr>
      <w:r>
        <w:rPr>
          <w:b/>
          <w:sz w:val="22"/>
          <w:szCs w:val="22"/>
        </w:rPr>
        <w:t>Figure 3.</w:t>
      </w:r>
      <w:r>
        <w:rPr>
          <w:sz w:val="22"/>
          <w:szCs w:val="22"/>
        </w:rPr>
        <w:t xml:space="preserve"> Median concentrations of NO</w:t>
      </w:r>
      <w:r>
        <w:rPr>
          <w:sz w:val="22"/>
          <w:szCs w:val="22"/>
          <w:vertAlign w:val="subscript"/>
        </w:rPr>
        <w:t>2</w:t>
      </w:r>
      <w:r>
        <w:rPr>
          <w:sz w:val="22"/>
          <w:szCs w:val="22"/>
        </w:rPr>
        <w:t xml:space="preserve"> (upper, left), ozone (upper, right), PM2.5 (lower, left) and PM10 (lower, right) predicted for the city of Xiamen on 13 October, 2017 (black curve) and compared with the measured values (red curves). The dispersion of the forecasts by the individual models belong to the ensemble is shown by the grey range and the dispersion of the measured values at different stations in the city are depicted by the pink band.</w:t>
      </w:r>
    </w:p>
    <w:p w:rsidR="00F6191F" w:rsidRDefault="00F6191F">
      <w:pPr>
        <w:jc w:val="both"/>
      </w:pPr>
    </w:p>
    <w:p w:rsidR="00F6191F" w:rsidRDefault="00E5706D">
      <w:pPr>
        <w:jc w:val="both"/>
      </w:pPr>
      <w:r>
        <w:lastRenderedPageBreak/>
        <w:t>The second example of predictions (Figure 4) refers to the forecast of PM</w:t>
      </w:r>
      <w:r>
        <w:rPr>
          <w:vertAlign w:val="subscript"/>
        </w:rPr>
        <w:t>2.5</w:t>
      </w:r>
      <w:r>
        <w:t xml:space="preserve"> in Shanghai on a relatively polluted day (3 November, 2017). All models predict the presence of relatively high concentrations over land (diurnal mean values of typically 100 -150 </w:t>
      </w:r>
      <w:r>
        <w:rPr>
          <w:rFonts w:ascii="Calibri" w:hAnsi="Calibri"/>
        </w:rPr>
        <w:t>μ</w:t>
      </w:r>
      <w:r>
        <w:t>g m</w:t>
      </w:r>
      <w:r>
        <w:rPr>
          <w:vertAlign w:val="superscript"/>
        </w:rPr>
        <w:t>-3</w:t>
      </w:r>
      <w:r>
        <w:t xml:space="preserve">) with a steep negative gradient towards the Chinese sea, where the concentrations are of the order of only 25-40 </w:t>
      </w:r>
      <w:r>
        <w:rPr>
          <w:rFonts w:ascii="Calibri" w:hAnsi="Calibri"/>
        </w:rPr>
        <w:t>μ</w:t>
      </w:r>
      <w:r>
        <w:t>g m</w:t>
      </w:r>
      <w:r>
        <w:rPr>
          <w:vertAlign w:val="superscript"/>
        </w:rPr>
        <w:t>-3</w:t>
      </w:r>
      <w:r>
        <w:t xml:space="preserve">. Observations made at different stations in this urban area show the occurrence of two successive concentration peaks, one around 9:00-10:00 with concentrations reaching about 180 </w:t>
      </w:r>
      <w:r>
        <w:rPr>
          <w:rFonts w:ascii="Calibri" w:hAnsi="Calibri"/>
        </w:rPr>
        <w:t>μ</w:t>
      </w:r>
      <w:r>
        <w:t>g m</w:t>
      </w:r>
      <w:r>
        <w:rPr>
          <w:vertAlign w:val="superscript"/>
        </w:rPr>
        <w:t>-3</w:t>
      </w:r>
      <w:r>
        <w:t xml:space="preserve"> and the second one at 15:00-16:00 with concentrations as high as 150 </w:t>
      </w:r>
      <w:r>
        <w:rPr>
          <w:rFonts w:ascii="Calibri" w:hAnsi="Calibri"/>
        </w:rPr>
        <w:t>μ</w:t>
      </w:r>
      <w:r>
        <w:t>g m</w:t>
      </w:r>
      <w:r>
        <w:rPr>
          <w:vertAlign w:val="superscript"/>
        </w:rPr>
        <w:t>-3</w:t>
      </w:r>
      <w:r>
        <w:t>.  The ensemble mean forecast system predicts the occurrence of a single peak at about 7:00 am with a PM</w:t>
      </w:r>
      <w:r>
        <w:rPr>
          <w:vertAlign w:val="subscript"/>
        </w:rPr>
        <w:t>2.5</w:t>
      </w:r>
      <w:r>
        <w:t xml:space="preserve"> concentration of about 220 </w:t>
      </w:r>
      <w:r>
        <w:rPr>
          <w:rFonts w:ascii="Calibri" w:hAnsi="Calibri"/>
        </w:rPr>
        <w:t>μ</w:t>
      </w:r>
      <w:r>
        <w:t>g m</w:t>
      </w:r>
      <w:r>
        <w:rPr>
          <w:vertAlign w:val="superscript"/>
        </w:rPr>
        <w:t>-3</w:t>
      </w:r>
      <w:r>
        <w:t>. The forecast shows a gradual decrease in the concentration during the afternoon that is in good agreement with the observation. The occurrence of the second peak in the afternoon, however, is missed by the ensemble prediction, even though a peak appears in some of the individual model calculations (WRF-Chem SMS, EMEP</w:t>
      </w:r>
      <w:r>
        <w:rPr>
          <w:rFonts w:hint="eastAsia"/>
          <w:lang w:eastAsia="zh-CN"/>
        </w:rPr>
        <w:t xml:space="preserve"> and</w:t>
      </w:r>
      <w:r>
        <w:t xml:space="preserve"> WRF-CMAQ), but often a few hours before it was actually detected by the monitoring stations. An inspection of the forecasts by the different models highlights the diversity in the model results. IFS, C</w:t>
      </w:r>
      <w:r>
        <w:rPr>
          <w:rFonts w:hint="eastAsia"/>
          <w:lang w:eastAsia="zh-CN"/>
        </w:rPr>
        <w:t>HIMERE</w:t>
      </w:r>
      <w:r>
        <w:t>, WRF-Chem-SMS, and EMEP overestimate the PM2.5 concentrations before mid-day, while they provide values in good agreement with the observations in the afternoon and evening. WRF-Chem-MPIM underestimates the concentrations during the entire day. LOTOS-EUROS as well as WRF-CMAQ provide values that are in fair agreement with the observations in the morning, but underestimate the concentrations in the afternoon.</w:t>
      </w:r>
    </w:p>
    <w:p w:rsidR="00F6191F" w:rsidRDefault="00F6191F"/>
    <w:p w:rsidR="00F6191F" w:rsidRDefault="00F6191F"/>
    <w:p w:rsidR="00F6191F" w:rsidRDefault="00E5706D">
      <w:pPr>
        <w:jc w:val="center"/>
      </w:pPr>
      <w:r>
        <w:rPr>
          <w:noProof/>
          <w:lang w:val="en-US" w:eastAsia="zh-CN"/>
        </w:rPr>
        <w:drawing>
          <wp:inline distT="0" distB="0" distL="0" distR="0">
            <wp:extent cx="2682875" cy="1986915"/>
            <wp:effectExtent l="0" t="0" r="9525"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45">
                      <a:extLst>
                        <a:ext uri="{28A0092B-C50C-407E-A947-70E740481C1C}">
                          <a14:useLocalDpi xmlns:a14="http://schemas.microsoft.com/office/drawing/2010/main" val="0"/>
                        </a:ext>
                      </a:extLst>
                    </a:blip>
                    <a:srcRect t="1262"/>
                    <a:stretch>
                      <a:fillRect/>
                    </a:stretch>
                  </pic:blipFill>
                  <pic:spPr>
                    <a:xfrm>
                      <a:off x="0" y="0"/>
                      <a:ext cx="2683933" cy="1987542"/>
                    </a:xfrm>
                    <a:prstGeom prst="rect">
                      <a:avLst/>
                    </a:prstGeom>
                    <a:noFill/>
                    <a:ln>
                      <a:noFill/>
                    </a:ln>
                  </pic:spPr>
                </pic:pic>
              </a:graphicData>
            </a:graphic>
          </wp:inline>
        </w:drawing>
      </w:r>
      <w:r>
        <w:rPr>
          <w:noProof/>
          <w:lang w:val="en-US" w:eastAsia="zh-CN"/>
        </w:rPr>
        <w:drawing>
          <wp:inline distT="0" distB="0" distL="0" distR="0">
            <wp:extent cx="2686050" cy="2014220"/>
            <wp:effectExtent l="0" t="0" r="6350" b="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2686050" cy="2014538"/>
                    </a:xfrm>
                    <a:prstGeom prst="rect">
                      <a:avLst/>
                    </a:prstGeom>
                    <a:noFill/>
                    <a:ln>
                      <a:noFill/>
                    </a:ln>
                  </pic:spPr>
                </pic:pic>
              </a:graphicData>
            </a:graphic>
          </wp:inline>
        </w:drawing>
      </w:r>
    </w:p>
    <w:p w:rsidR="00F6191F" w:rsidRDefault="00E5706D">
      <w:pPr>
        <w:jc w:val="center"/>
      </w:pPr>
      <w:r>
        <w:rPr>
          <w:noProof/>
          <w:lang w:val="en-US" w:eastAsia="zh-CN"/>
        </w:rPr>
        <w:drawing>
          <wp:inline distT="0" distB="0" distL="0" distR="0">
            <wp:extent cx="2647950" cy="2011680"/>
            <wp:effectExtent l="0" t="0" r="0" b="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
                    <pic:cNvPicPr>
                      <a:picLocks noChangeAspect="1" noChangeArrowheads="1"/>
                    </pic:cNvPicPr>
                  </pic:nvPicPr>
                  <pic:blipFill>
                    <a:blip r:embed="rId47">
                      <a:extLst>
                        <a:ext uri="{28A0092B-C50C-407E-A947-70E740481C1C}">
                          <a14:useLocalDpi xmlns:a14="http://schemas.microsoft.com/office/drawing/2010/main" val="0"/>
                        </a:ext>
                      </a:extLst>
                    </a:blip>
                    <a:srcRect t="2556"/>
                    <a:stretch>
                      <a:fillRect/>
                    </a:stretch>
                  </pic:blipFill>
                  <pic:spPr>
                    <a:xfrm>
                      <a:off x="0" y="0"/>
                      <a:ext cx="2650067" cy="2012982"/>
                    </a:xfrm>
                    <a:prstGeom prst="rect">
                      <a:avLst/>
                    </a:prstGeom>
                    <a:noFill/>
                    <a:ln>
                      <a:noFill/>
                    </a:ln>
                  </pic:spPr>
                </pic:pic>
              </a:graphicData>
            </a:graphic>
          </wp:inline>
        </w:drawing>
      </w:r>
      <w:r>
        <w:rPr>
          <w:noProof/>
          <w:lang w:val="en-US" w:eastAsia="zh-CN"/>
        </w:rPr>
        <w:drawing>
          <wp:inline distT="0" distB="0" distL="0" distR="0">
            <wp:extent cx="2710815" cy="1993900"/>
            <wp:effectExtent l="0" t="0" r="6985" b="0"/>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5"/>
                    <pic:cNvPicPr>
                      <a:picLocks noChangeAspect="1" noChangeArrowheads="1"/>
                    </pic:cNvPicPr>
                  </pic:nvPicPr>
                  <pic:blipFill>
                    <a:blip r:embed="rId48">
                      <a:extLst>
                        <a:ext uri="{28A0092B-C50C-407E-A947-70E740481C1C}">
                          <a14:useLocalDpi xmlns:a14="http://schemas.microsoft.com/office/drawing/2010/main" val="0"/>
                        </a:ext>
                      </a:extLst>
                    </a:blip>
                    <a:srcRect b="1936"/>
                    <a:stretch>
                      <a:fillRect/>
                    </a:stretch>
                  </pic:blipFill>
                  <pic:spPr>
                    <a:xfrm>
                      <a:off x="0" y="0"/>
                      <a:ext cx="2711450" cy="1994212"/>
                    </a:xfrm>
                    <a:prstGeom prst="rect">
                      <a:avLst/>
                    </a:prstGeom>
                    <a:noFill/>
                    <a:ln>
                      <a:noFill/>
                    </a:ln>
                  </pic:spPr>
                </pic:pic>
              </a:graphicData>
            </a:graphic>
          </wp:inline>
        </w:drawing>
      </w:r>
    </w:p>
    <w:p w:rsidR="00F6191F" w:rsidRDefault="00F6191F">
      <w:pPr>
        <w:jc w:val="center"/>
        <w:rPr>
          <w:b/>
          <w:sz w:val="22"/>
          <w:szCs w:val="22"/>
        </w:rPr>
      </w:pPr>
    </w:p>
    <w:p w:rsidR="00F6191F" w:rsidRDefault="00E5706D">
      <w:pPr>
        <w:jc w:val="both"/>
        <w:rPr>
          <w:sz w:val="22"/>
          <w:szCs w:val="22"/>
          <w:lang w:eastAsia="zh-CN"/>
        </w:rPr>
      </w:pPr>
      <w:r>
        <w:rPr>
          <w:b/>
          <w:sz w:val="22"/>
          <w:szCs w:val="22"/>
        </w:rPr>
        <w:t>Figure 4.</w:t>
      </w:r>
      <w:r>
        <w:rPr>
          <w:sz w:val="22"/>
          <w:szCs w:val="22"/>
        </w:rPr>
        <w:t xml:space="preserve"> Forecast by different models of PM</w:t>
      </w:r>
      <w:r>
        <w:rPr>
          <w:sz w:val="22"/>
          <w:szCs w:val="22"/>
          <w:vertAlign w:val="subscript"/>
        </w:rPr>
        <w:t>2.5</w:t>
      </w:r>
      <w:r>
        <w:rPr>
          <w:sz w:val="22"/>
          <w:szCs w:val="22"/>
        </w:rPr>
        <w:t xml:space="preserve"> concentration during a polluted day in Shanghai on 3 November 2017. The graph at the top left represents the median concentration, and the individual forecasts provided by CHIMERE, IFS, WRF-Chem-SMS, WRF-Chem-MPIM, EMEP, LOTOS-EUROS</w:t>
      </w:r>
      <w:r>
        <w:rPr>
          <w:rFonts w:hint="eastAsia"/>
          <w:sz w:val="22"/>
          <w:szCs w:val="22"/>
          <w:lang w:eastAsia="zh-CN"/>
        </w:rPr>
        <w:t xml:space="preserve">, and </w:t>
      </w:r>
      <w:r>
        <w:rPr>
          <w:rFonts w:hint="eastAsia"/>
          <w:sz w:val="22"/>
          <w:szCs w:val="22"/>
          <w:lang w:eastAsia="zh-CN"/>
        </w:rPr>
        <w:lastRenderedPageBreak/>
        <w:t xml:space="preserve">WRF-CMAQ </w:t>
      </w:r>
      <w:r>
        <w:rPr>
          <w:sz w:val="22"/>
          <w:szCs w:val="22"/>
        </w:rPr>
        <w:t>are shown by the other panels. Measured concentrations are represented by the red curves and model concentrations by the black curves.</w:t>
      </w:r>
    </w:p>
    <w:p w:rsidR="00F6191F" w:rsidRDefault="00F6191F"/>
    <w:p w:rsidR="00F6191F" w:rsidRDefault="00F6191F">
      <w:pPr>
        <w:jc w:val="both"/>
      </w:pPr>
    </w:p>
    <w:p w:rsidR="00F6191F" w:rsidRDefault="00E5706D">
      <w:pPr>
        <w:jc w:val="both"/>
      </w:pPr>
      <w:r>
        <w:t>A third example (Figure 5) refers to the predicted concentration of PM</w:t>
      </w:r>
      <w:r>
        <w:rPr>
          <w:vertAlign w:val="subscript"/>
        </w:rPr>
        <w:t>2.5</w:t>
      </w:r>
      <w:r>
        <w:t xml:space="preserve"> on 25 October 2017 in Beijing. In this particular case, the ensemble forecast system predicts the occurrence of a rather polluted day with stagnant air and high concentrations of aerosol particles over Beijing as a band stretching from the southwest to the northeast. The median concentration predicted for this day is close to 200 </w:t>
      </w:r>
      <w:r>
        <w:rPr>
          <w:rFonts w:ascii="Calibri" w:hAnsi="Calibri"/>
        </w:rPr>
        <w:t>μ</w:t>
      </w:r>
      <w:r>
        <w:t>g m</w:t>
      </w:r>
      <w:r>
        <w:rPr>
          <w:vertAlign w:val="superscript"/>
        </w:rPr>
        <w:t>-3</w:t>
      </w:r>
      <w:r>
        <w:t>, but is a factor 2 higher than the observation. Most individual models produce this band of high PM2.5 concentrations with the exception of the WRF-Chem-MPIM model that shows moderate levels of pollution with an aerosol cloud localized in the urban area of Beijing. An examination of the results provided by the individual models shows again large differences. Some models (CHIMERE, EMEP,</w:t>
      </w:r>
      <w:r>
        <w:rPr>
          <w:rFonts w:hint="eastAsia"/>
          <w:lang w:eastAsia="zh-CN"/>
        </w:rPr>
        <w:t xml:space="preserve"> </w:t>
      </w:r>
      <w:r>
        <w:t>LOTOS-EUROS</w:t>
      </w:r>
      <w:r>
        <w:rPr>
          <w:rFonts w:hint="eastAsia"/>
          <w:lang w:eastAsia="zh-CN"/>
        </w:rPr>
        <w:t xml:space="preserve">, </w:t>
      </w:r>
      <w:r>
        <w:t xml:space="preserve">WRF-Chem-MPIM) calculate a slow and rather steady concentration increase during the day, while other models (WRF-Chem-SMS, WARMS-CMAQ-SMS, </w:t>
      </w:r>
      <w:r>
        <w:rPr>
          <w:rFonts w:hint="eastAsia"/>
          <w:lang w:eastAsia="zh-CN"/>
        </w:rPr>
        <w:t>SILAM</w:t>
      </w:r>
      <w:r>
        <w:t xml:space="preserve"> and IFS) exhibit some irregular variations during the day. Most models overestimate the PM</w:t>
      </w:r>
      <w:r>
        <w:rPr>
          <w:vertAlign w:val="subscript"/>
        </w:rPr>
        <w:t>2.5</w:t>
      </w:r>
      <w:r>
        <w:t xml:space="preserve"> concentrations except LOTOS-EUROS and WRF-Chem</w:t>
      </w:r>
      <w:r>
        <w:rPr>
          <w:rFonts w:hint="eastAsia"/>
          <w:lang w:eastAsia="zh-CN"/>
        </w:rPr>
        <w:t>-MPI</w:t>
      </w:r>
      <w:r>
        <w:rPr>
          <w:lang w:val="en-US" w:eastAsia="zh-CN"/>
        </w:rPr>
        <w:t>M</w:t>
      </w:r>
      <w:r>
        <w:t xml:space="preserve">, which predict concentrations with the same order of magnitude as the observations at the monitoring stations. </w:t>
      </w:r>
      <w:r>
        <w:rPr>
          <w:b/>
          <w:i/>
        </w:rPr>
        <w:br w:type="page"/>
      </w:r>
    </w:p>
    <w:p w:rsidR="00F6191F" w:rsidRDefault="00F6191F"/>
    <w:p w:rsidR="00F6191F" w:rsidRDefault="00E5706D">
      <w:pPr>
        <w:jc w:val="center"/>
      </w:pPr>
      <w:r>
        <w:rPr>
          <w:noProof/>
          <w:lang w:val="en-US" w:eastAsia="zh-CN"/>
        </w:rPr>
        <w:drawing>
          <wp:inline distT="0" distB="0" distL="0" distR="0">
            <wp:extent cx="4343400" cy="1637030"/>
            <wp:effectExtent l="0" t="0" r="0" b="0"/>
            <wp:docPr id="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2"/>
                    <pic:cNvPicPr>
                      <a:picLocks noChangeAspect="1" noChangeArrowheads="1"/>
                    </pic:cNvPicPr>
                  </pic:nvPicPr>
                  <pic:blipFill>
                    <a:blip r:embed="rId49">
                      <a:extLst>
                        <a:ext uri="{28A0092B-C50C-407E-A947-70E740481C1C}">
                          <a14:useLocalDpi xmlns:a14="http://schemas.microsoft.com/office/drawing/2010/main" val="0"/>
                        </a:ext>
                      </a:extLst>
                    </a:blip>
                    <a:srcRect b="49741"/>
                    <a:stretch>
                      <a:fillRect/>
                    </a:stretch>
                  </pic:blipFill>
                  <pic:spPr>
                    <a:xfrm>
                      <a:off x="0" y="0"/>
                      <a:ext cx="4343400" cy="1637202"/>
                    </a:xfrm>
                    <a:prstGeom prst="rect">
                      <a:avLst/>
                    </a:prstGeom>
                    <a:noFill/>
                    <a:ln>
                      <a:noFill/>
                    </a:ln>
                  </pic:spPr>
                </pic:pic>
              </a:graphicData>
            </a:graphic>
          </wp:inline>
        </w:drawing>
      </w:r>
      <w:r>
        <w:rPr>
          <w:noProof/>
          <w:lang w:val="en-US" w:eastAsia="zh-CN"/>
        </w:rPr>
        <w:drawing>
          <wp:inline distT="0" distB="0" distL="0" distR="0">
            <wp:extent cx="2844800" cy="2133600"/>
            <wp:effectExtent l="0" t="0" r="0"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2844989" cy="2133742"/>
                    </a:xfrm>
                    <a:prstGeom prst="rect">
                      <a:avLst/>
                    </a:prstGeom>
                    <a:noFill/>
                    <a:ln>
                      <a:noFill/>
                    </a:ln>
                  </pic:spPr>
                </pic:pic>
              </a:graphicData>
            </a:graphic>
          </wp:inline>
        </w:drawing>
      </w:r>
      <w:r>
        <w:rPr>
          <w:noProof/>
          <w:lang w:val="en-US" w:eastAsia="zh-CN"/>
        </w:rPr>
        <w:drawing>
          <wp:inline distT="0" distB="0" distL="0" distR="0">
            <wp:extent cx="2744470" cy="2058670"/>
            <wp:effectExtent l="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746745" cy="2060057"/>
                    </a:xfrm>
                    <a:prstGeom prst="rect">
                      <a:avLst/>
                    </a:prstGeom>
                    <a:noFill/>
                    <a:ln>
                      <a:noFill/>
                    </a:ln>
                  </pic:spPr>
                </pic:pic>
              </a:graphicData>
            </a:graphic>
          </wp:inline>
        </w:drawing>
      </w:r>
      <w:r>
        <w:rPr>
          <w:noProof/>
          <w:lang w:val="en-US" w:eastAsia="zh-CN"/>
        </w:rPr>
        <w:drawing>
          <wp:inline distT="0" distB="0" distL="0" distR="0">
            <wp:extent cx="2857500" cy="2143125"/>
            <wp:effectExtent l="0" t="0" r="12700" b="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2857500" cy="2143125"/>
                    </a:xfrm>
                    <a:prstGeom prst="rect">
                      <a:avLst/>
                    </a:prstGeom>
                    <a:noFill/>
                    <a:ln>
                      <a:noFill/>
                    </a:ln>
                  </pic:spPr>
                </pic:pic>
              </a:graphicData>
            </a:graphic>
          </wp:inline>
        </w:drawing>
      </w:r>
      <w:r>
        <w:rPr>
          <w:noProof/>
          <w:lang w:val="en-US" w:eastAsia="zh-CN"/>
        </w:rPr>
        <w:drawing>
          <wp:inline distT="0" distB="0" distL="0" distR="0">
            <wp:extent cx="2743835" cy="2057400"/>
            <wp:effectExtent l="0" t="0" r="0" b="0"/>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745477" cy="2059109"/>
                    </a:xfrm>
                    <a:prstGeom prst="rect">
                      <a:avLst/>
                    </a:prstGeom>
                    <a:noFill/>
                    <a:ln>
                      <a:noFill/>
                    </a:ln>
                  </pic:spPr>
                </pic:pic>
              </a:graphicData>
            </a:graphic>
          </wp:inline>
        </w:drawing>
      </w:r>
    </w:p>
    <w:p w:rsidR="00F6191F" w:rsidRDefault="00F6191F">
      <w:pPr>
        <w:jc w:val="center"/>
      </w:pPr>
    </w:p>
    <w:p w:rsidR="00F6191F" w:rsidRDefault="00E5706D">
      <w:pPr>
        <w:jc w:val="both"/>
        <w:rPr>
          <w:sz w:val="22"/>
          <w:szCs w:val="22"/>
        </w:rPr>
      </w:pPr>
      <w:r>
        <w:rPr>
          <w:b/>
          <w:sz w:val="22"/>
          <w:szCs w:val="22"/>
        </w:rPr>
        <w:t>Figure 5.</w:t>
      </w:r>
      <w:r>
        <w:rPr>
          <w:sz w:val="22"/>
          <w:szCs w:val="22"/>
        </w:rPr>
        <w:t xml:space="preserve">  Diversity of PM</w:t>
      </w:r>
      <w:r>
        <w:rPr>
          <w:sz w:val="22"/>
          <w:szCs w:val="22"/>
          <w:vertAlign w:val="subscript"/>
        </w:rPr>
        <w:t>2.5</w:t>
      </w:r>
      <w:r>
        <w:rPr>
          <w:sz w:val="22"/>
          <w:szCs w:val="22"/>
        </w:rPr>
        <w:t xml:space="preserve"> forecasts in Beijing on 25 October 2017 by several models included in the ensemble of the MarcoPolo-Panda prediction system. The ensemble median is shown by the top panels, and the individual forecasts provided by CHIMERE, IFS, WRF-Chem-MPIM, EMEP, WRF-Chem-SMS, SILAM, LOTOS-EUROS, and WARMS-CMAQ-SMS are shown by the other panels. Measurements are in red and model data in black.</w:t>
      </w:r>
    </w:p>
    <w:p w:rsidR="00F6191F" w:rsidRDefault="00F6191F">
      <w:pPr>
        <w:jc w:val="center"/>
      </w:pPr>
    </w:p>
    <w:p w:rsidR="00F6191F" w:rsidRDefault="00F6191F">
      <w:pPr>
        <w:jc w:val="center"/>
      </w:pPr>
    </w:p>
    <w:p w:rsidR="00F6191F" w:rsidRDefault="00E5706D">
      <w:pPr>
        <w:jc w:val="both"/>
      </w:pPr>
      <w:r>
        <w:t>The last illustrative example refers to the forecast of nitrogen oxides and ozone in the Shanghai area on 31 October 2017 (Figure 6a, b and c). All models show that the NO</w:t>
      </w:r>
      <w:r>
        <w:rPr>
          <w:vertAlign w:val="subscript"/>
        </w:rPr>
        <w:t>2</w:t>
      </w:r>
      <w:r>
        <w:t xml:space="preserve"> concentrations are highest in the boundary layer of the urban areas, even though the calculated values may be different from model to model, and the dispersion of the species away from the urban centres may also be uneven. In all cases, predicted values above the ocean are very low, i.e., less than a few </w:t>
      </w:r>
      <w:r>
        <w:rPr>
          <w:rFonts w:ascii="Calibri" w:hAnsi="Calibri"/>
        </w:rPr>
        <w:t>μ</w:t>
      </w:r>
      <w:r>
        <w:t>g m</w:t>
      </w:r>
      <w:r>
        <w:rPr>
          <w:vertAlign w:val="superscript"/>
        </w:rPr>
        <w:t>-3</w:t>
      </w:r>
      <w:r>
        <w:t>. A band of high NO</w:t>
      </w:r>
      <w:r>
        <w:rPr>
          <w:vertAlign w:val="subscript"/>
        </w:rPr>
        <w:t>2</w:t>
      </w:r>
      <w:r>
        <w:t xml:space="preserve"> concentrations extends from Shanghai in the northwest direction.</w:t>
      </w:r>
    </w:p>
    <w:p w:rsidR="00F6191F" w:rsidRDefault="00F6191F">
      <w:pPr>
        <w:jc w:val="both"/>
      </w:pPr>
    </w:p>
    <w:p w:rsidR="00F6191F" w:rsidRDefault="00E5706D">
      <w:pPr>
        <w:jc w:val="both"/>
      </w:pPr>
      <w:r>
        <w:t>The median values of NO</w:t>
      </w:r>
      <w:r>
        <w:rPr>
          <w:vertAlign w:val="subscript"/>
        </w:rPr>
        <w:t>2</w:t>
      </w:r>
      <w:r>
        <w:t xml:space="preserve"> in the city (top panels) are in good agreement with the observed values, with night-time concentrations on the order of 60-80 </w:t>
      </w:r>
      <w:r>
        <w:rPr>
          <w:rFonts w:ascii="Calibri" w:hAnsi="Calibri"/>
        </w:rPr>
        <w:t>μ</w:t>
      </w:r>
      <w:r>
        <w:t>g m</w:t>
      </w:r>
      <w:r>
        <w:rPr>
          <w:vertAlign w:val="superscript"/>
        </w:rPr>
        <w:t>-3</w:t>
      </w:r>
      <w:r>
        <w:t xml:space="preserve">, and substantially lower values during daytime resulting from the photolysis of the molecule by solar radiation. A minimum concentration of 25 </w:t>
      </w:r>
      <w:r>
        <w:rPr>
          <w:rFonts w:ascii="Calibri" w:hAnsi="Calibri"/>
        </w:rPr>
        <w:t>μ</w:t>
      </w:r>
      <w:r>
        <w:t>g m</w:t>
      </w:r>
      <w:r>
        <w:rPr>
          <w:vertAlign w:val="superscript"/>
        </w:rPr>
        <w:t>-3</w:t>
      </w:r>
      <w:r>
        <w:t xml:space="preserve"> is reached around noon. </w:t>
      </w:r>
    </w:p>
    <w:p w:rsidR="00F6191F" w:rsidRDefault="00F6191F">
      <w:pPr>
        <w:jc w:val="both"/>
      </w:pPr>
    </w:p>
    <w:p w:rsidR="00F6191F" w:rsidRDefault="00E5706D">
      <w:pPr>
        <w:jc w:val="both"/>
      </w:pPr>
      <w:r>
        <w:t>The diurnal variation of NO</w:t>
      </w:r>
      <w:r>
        <w:rPr>
          <w:vertAlign w:val="subscript"/>
        </w:rPr>
        <w:t>2</w:t>
      </w:r>
      <w:r>
        <w:t xml:space="preserve"> is well captured by most models, in particular by CHIMERE (although the absolute values are too low), IFS, WRF-Chem-SMS, WRF-Chem-MPIM and WARMS-CMAQ-SMS. The diurnal variation is somewhat underestimated in EME</w:t>
      </w:r>
      <w:r>
        <w:rPr>
          <w:rFonts w:hint="eastAsia"/>
          <w:lang w:eastAsia="zh-CN"/>
        </w:rPr>
        <w:t>P</w:t>
      </w:r>
      <w:r>
        <w:t>, LOTOS-EUROS and WRF-CMAQ.</w:t>
      </w:r>
    </w:p>
    <w:p w:rsidR="00F6191F" w:rsidRDefault="00F6191F">
      <w:pPr>
        <w:jc w:val="both"/>
      </w:pPr>
    </w:p>
    <w:p w:rsidR="00F6191F" w:rsidRDefault="00E5706D">
      <w:pPr>
        <w:jc w:val="both"/>
      </w:pPr>
      <w:r>
        <w:t>The ozone concentration (right panels) also exhibits a strong diurnal variation that, to a large extent, mirrors the NO</w:t>
      </w:r>
      <w:r>
        <w:rPr>
          <w:vertAlign w:val="subscript"/>
        </w:rPr>
        <w:t>2</w:t>
      </w:r>
      <w:r>
        <w:t xml:space="preserve"> variation. Measurements show a maximum value of nearly 100 </w:t>
      </w:r>
      <w:r>
        <w:rPr>
          <w:rFonts w:ascii="Calibri" w:hAnsi="Calibri"/>
        </w:rPr>
        <w:t>μ</w:t>
      </w:r>
      <w:r>
        <w:t>g m</w:t>
      </w:r>
      <w:r>
        <w:rPr>
          <w:vertAlign w:val="superscript"/>
        </w:rPr>
        <w:t>-3</w:t>
      </w:r>
      <w:r>
        <w:t xml:space="preserve"> reached at 15:00 and low night-time concentrations (typically 10-30 </w:t>
      </w:r>
      <w:r>
        <w:rPr>
          <w:rFonts w:ascii="Calibri" w:hAnsi="Calibri"/>
        </w:rPr>
        <w:t>μ</w:t>
      </w:r>
      <w:r>
        <w:t>g m</w:t>
      </w:r>
      <w:r>
        <w:rPr>
          <w:vertAlign w:val="superscript"/>
        </w:rPr>
        <w:t>-3</w:t>
      </w:r>
      <w:r>
        <w:t xml:space="preserve">). The median concentrations, provided by the ensemble forecast system upper panel on the right), are characterized by a similar diurnal variation but with lower amplitude. The concentration reaches its maximum at 14:00, but the value of this maximum is only equal to 60 </w:t>
      </w:r>
      <w:r>
        <w:rPr>
          <w:rFonts w:ascii="Calibri" w:hAnsi="Calibri"/>
        </w:rPr>
        <w:t>μ</w:t>
      </w:r>
      <w:r>
        <w:t>g m</w:t>
      </w:r>
      <w:r>
        <w:rPr>
          <w:vertAlign w:val="superscript"/>
        </w:rPr>
        <w:t>-3</w:t>
      </w:r>
      <w:r>
        <w:t xml:space="preserve">. The values predicted for the night are generally somewhat smaller than the observation, with values of the order of 5-10 </w:t>
      </w:r>
      <w:r>
        <w:rPr>
          <w:rFonts w:ascii="Calibri" w:hAnsi="Calibri"/>
        </w:rPr>
        <w:t>μ</w:t>
      </w:r>
      <w:r>
        <w:t>g m</w:t>
      </w:r>
      <w:r>
        <w:rPr>
          <w:vertAlign w:val="superscript"/>
        </w:rPr>
        <w:t>-3</w:t>
      </w:r>
      <w:r>
        <w:t xml:space="preserve">. </w:t>
      </w:r>
    </w:p>
    <w:p w:rsidR="00F6191F" w:rsidRDefault="00F6191F">
      <w:pPr>
        <w:jc w:val="both"/>
      </w:pPr>
    </w:p>
    <w:p w:rsidR="00F6191F" w:rsidRDefault="00E5706D">
      <w:pPr>
        <w:jc w:val="both"/>
      </w:pPr>
      <w:r>
        <w:t>In the case of ozone, differences between model forecasts are again substantial. The maximum concentration values in the early afternoon are 50</w:t>
      </w:r>
      <w:r>
        <w:rPr>
          <w:rFonts w:hint="eastAsia"/>
          <w:lang w:eastAsia="zh-CN"/>
        </w:rPr>
        <w:t xml:space="preserve"> </w:t>
      </w:r>
      <w:r>
        <w:rPr>
          <w:rFonts w:ascii="Calibri" w:hAnsi="Calibri"/>
        </w:rPr>
        <w:t>μ</w:t>
      </w:r>
      <w:r>
        <w:t>g m</w:t>
      </w:r>
      <w:r>
        <w:rPr>
          <w:vertAlign w:val="superscript"/>
        </w:rPr>
        <w:t>-3</w:t>
      </w:r>
      <w:r>
        <w:t xml:space="preserve"> for CHIMERE, 62</w:t>
      </w:r>
      <w:r>
        <w:rPr>
          <w:rFonts w:hint="eastAsia"/>
          <w:lang w:eastAsia="zh-CN"/>
        </w:rPr>
        <w:t xml:space="preserve"> </w:t>
      </w:r>
      <w:r>
        <w:rPr>
          <w:rFonts w:ascii="Calibri" w:hAnsi="Calibri"/>
        </w:rPr>
        <w:t>μ</w:t>
      </w:r>
      <w:r>
        <w:t>g m</w:t>
      </w:r>
      <w:r>
        <w:rPr>
          <w:vertAlign w:val="superscript"/>
        </w:rPr>
        <w:t>-3</w:t>
      </w:r>
      <w:r>
        <w:t xml:space="preserve"> for IFS, 85</w:t>
      </w:r>
      <w:r>
        <w:rPr>
          <w:rFonts w:hint="eastAsia"/>
          <w:lang w:eastAsia="zh-CN"/>
        </w:rPr>
        <w:t xml:space="preserve"> </w:t>
      </w:r>
      <w:r>
        <w:rPr>
          <w:rFonts w:ascii="Calibri" w:hAnsi="Calibri"/>
        </w:rPr>
        <w:t>μ</w:t>
      </w:r>
      <w:r>
        <w:t>g m</w:t>
      </w:r>
      <w:r>
        <w:rPr>
          <w:vertAlign w:val="superscript"/>
        </w:rPr>
        <w:t>-3</w:t>
      </w:r>
      <w:r>
        <w:rPr>
          <w:rFonts w:hint="eastAsia"/>
          <w:vertAlign w:val="superscript"/>
          <w:lang w:eastAsia="zh-CN"/>
        </w:rPr>
        <w:t xml:space="preserve"> </w:t>
      </w:r>
      <w:r>
        <w:t>for WRF-Chem-SMS, 65</w:t>
      </w:r>
      <w:r>
        <w:rPr>
          <w:rFonts w:hint="eastAsia"/>
          <w:lang w:eastAsia="zh-CN"/>
        </w:rPr>
        <w:t xml:space="preserve"> </w:t>
      </w:r>
      <w:r>
        <w:rPr>
          <w:rFonts w:ascii="Calibri" w:hAnsi="Calibri"/>
        </w:rPr>
        <w:t>μ</w:t>
      </w:r>
      <w:r>
        <w:t>g m</w:t>
      </w:r>
      <w:r>
        <w:rPr>
          <w:vertAlign w:val="superscript"/>
        </w:rPr>
        <w:t>-3</w:t>
      </w:r>
      <w:r>
        <w:rPr>
          <w:rFonts w:hint="eastAsia"/>
          <w:vertAlign w:val="superscript"/>
          <w:lang w:eastAsia="zh-CN"/>
        </w:rPr>
        <w:t xml:space="preserve"> </w:t>
      </w:r>
      <w:r>
        <w:t xml:space="preserve"> for WRF-Chem-MPIM, 30</w:t>
      </w:r>
      <w:r>
        <w:rPr>
          <w:rFonts w:hint="eastAsia"/>
          <w:lang w:eastAsia="zh-CN"/>
        </w:rPr>
        <w:t xml:space="preserve"> </w:t>
      </w:r>
      <w:r>
        <w:rPr>
          <w:rFonts w:ascii="Calibri" w:hAnsi="Calibri"/>
        </w:rPr>
        <w:t>μ</w:t>
      </w:r>
      <w:r>
        <w:t>g m</w:t>
      </w:r>
      <w:r>
        <w:rPr>
          <w:vertAlign w:val="superscript"/>
        </w:rPr>
        <w:t>-3</w:t>
      </w:r>
      <w:r>
        <w:t xml:space="preserve"> for EMEP, 42</w:t>
      </w:r>
      <w:r>
        <w:rPr>
          <w:rFonts w:hint="eastAsia"/>
          <w:lang w:eastAsia="zh-CN"/>
        </w:rPr>
        <w:t xml:space="preserve"> </w:t>
      </w:r>
      <w:r>
        <w:rPr>
          <w:rFonts w:ascii="Calibri" w:hAnsi="Calibri"/>
        </w:rPr>
        <w:t>μ</w:t>
      </w:r>
      <w:r>
        <w:t>g m</w:t>
      </w:r>
      <w:r>
        <w:rPr>
          <w:vertAlign w:val="superscript"/>
        </w:rPr>
        <w:t>-3</w:t>
      </w:r>
      <w:r>
        <w:t xml:space="preserve"> for LOTOS-EUROS, 57 </w:t>
      </w:r>
      <w:r>
        <w:rPr>
          <w:rFonts w:ascii="Calibri" w:hAnsi="Calibri"/>
        </w:rPr>
        <w:t>μ</w:t>
      </w:r>
      <w:r>
        <w:t>g m</w:t>
      </w:r>
      <w:r>
        <w:rPr>
          <w:vertAlign w:val="superscript"/>
        </w:rPr>
        <w:t>-3</w:t>
      </w:r>
      <w:r>
        <w:t xml:space="preserve">  for WRF-CMAQ and 100</w:t>
      </w:r>
      <w:r>
        <w:rPr>
          <w:rFonts w:hint="eastAsia"/>
          <w:lang w:eastAsia="zh-CN"/>
        </w:rPr>
        <w:t xml:space="preserve"> </w:t>
      </w:r>
      <w:r>
        <w:rPr>
          <w:rFonts w:ascii="Calibri" w:hAnsi="Calibri"/>
        </w:rPr>
        <w:t>μ</w:t>
      </w:r>
      <w:r>
        <w:t>g m</w:t>
      </w:r>
      <w:r>
        <w:rPr>
          <w:vertAlign w:val="superscript"/>
        </w:rPr>
        <w:t>-3</w:t>
      </w:r>
      <w:r>
        <w:t xml:space="preserve"> </w:t>
      </w:r>
      <w:r>
        <w:rPr>
          <w:rFonts w:hint="eastAsia"/>
          <w:lang w:eastAsia="zh-CN"/>
        </w:rPr>
        <w:t xml:space="preserve"> </w:t>
      </w:r>
      <w:r>
        <w:t>for WAR</w:t>
      </w:r>
      <w:r>
        <w:rPr>
          <w:rFonts w:hint="eastAsia"/>
          <w:lang w:eastAsia="zh-CN"/>
        </w:rPr>
        <w:t>M</w:t>
      </w:r>
      <w:r>
        <w:t xml:space="preserve">S-CMAQ-SMS. </w:t>
      </w:r>
    </w:p>
    <w:p w:rsidR="00F6191F" w:rsidRDefault="00F6191F">
      <w:pPr>
        <w:jc w:val="center"/>
      </w:pPr>
    </w:p>
    <w:p w:rsidR="00F6191F" w:rsidRDefault="00F6191F">
      <w:pPr>
        <w:jc w:val="center"/>
      </w:pPr>
    </w:p>
    <w:p w:rsidR="00F6191F" w:rsidRDefault="00F6191F">
      <w:pPr>
        <w:jc w:val="center"/>
      </w:pPr>
    </w:p>
    <w:p w:rsidR="00F6191F" w:rsidRDefault="00E5706D">
      <w:pPr>
        <w:jc w:val="center"/>
      </w:pPr>
      <w:r>
        <w:rPr>
          <w:noProof/>
          <w:lang w:val="en-US" w:eastAsia="zh-CN"/>
        </w:rPr>
        <w:lastRenderedPageBreak/>
        <w:drawing>
          <wp:inline distT="0" distB="0" distL="0" distR="0">
            <wp:extent cx="5727700" cy="4295775"/>
            <wp:effectExtent l="0" t="0" r="1270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727700" cy="4295775"/>
                    </a:xfrm>
                    <a:prstGeom prst="rect">
                      <a:avLst/>
                    </a:prstGeom>
                    <a:noFill/>
                    <a:ln>
                      <a:noFill/>
                    </a:ln>
                  </pic:spPr>
                </pic:pic>
              </a:graphicData>
            </a:graphic>
          </wp:inline>
        </w:drawing>
      </w:r>
    </w:p>
    <w:p w:rsidR="00F6191F" w:rsidRDefault="00E5706D">
      <w:pPr>
        <w:jc w:val="both"/>
      </w:pPr>
      <w:r>
        <w:rPr>
          <w:b/>
          <w:sz w:val="22"/>
          <w:szCs w:val="22"/>
        </w:rPr>
        <w:t>Figure 6a.</w:t>
      </w:r>
      <w:r>
        <w:rPr>
          <w:sz w:val="22"/>
          <w:szCs w:val="22"/>
        </w:rPr>
        <w:t xml:space="preserve">  Diversity in the NO</w:t>
      </w:r>
      <w:r>
        <w:rPr>
          <w:sz w:val="22"/>
          <w:szCs w:val="22"/>
          <w:vertAlign w:val="subscript"/>
        </w:rPr>
        <w:t>2</w:t>
      </w:r>
      <w:r>
        <w:rPr>
          <w:sz w:val="22"/>
          <w:szCs w:val="22"/>
        </w:rPr>
        <w:t xml:space="preserve"> and ozone forecasts made for Shanghai on 31 October 2017 as highlighted by the predictions from several models included in the ensemble of the MarcoPolo-Panda system. The left and right panels show the diurnal variation of the predicted (black) and observed (red) NO</w:t>
      </w:r>
      <w:r>
        <w:rPr>
          <w:sz w:val="22"/>
          <w:szCs w:val="22"/>
          <w:vertAlign w:val="subscript"/>
        </w:rPr>
        <w:t>2</w:t>
      </w:r>
      <w:r>
        <w:rPr>
          <w:sz w:val="22"/>
          <w:szCs w:val="22"/>
        </w:rPr>
        <w:t xml:space="preserve"> and ozone concentrations (</w:t>
      </w:r>
      <w:r>
        <w:rPr>
          <w:rFonts w:ascii="Calibri" w:hAnsi="Calibri"/>
        </w:rPr>
        <w:t>μ</w:t>
      </w:r>
      <w:r>
        <w:t>g m</w:t>
      </w:r>
      <w:r>
        <w:rPr>
          <w:vertAlign w:val="superscript"/>
        </w:rPr>
        <w:t>-3</w:t>
      </w:r>
      <w:r>
        <w:rPr>
          <w:sz w:val="22"/>
          <w:szCs w:val="22"/>
        </w:rPr>
        <w:t>), respectively. The center panel presents the geographical distribution in the vicinity of Shanghai of the diurnal average predicted for the NO</w:t>
      </w:r>
      <w:r>
        <w:rPr>
          <w:sz w:val="22"/>
          <w:szCs w:val="22"/>
          <w:vertAlign w:val="subscript"/>
        </w:rPr>
        <w:t>2</w:t>
      </w:r>
      <w:r>
        <w:rPr>
          <w:sz w:val="22"/>
          <w:szCs w:val="22"/>
        </w:rPr>
        <w:t xml:space="preserve"> concentration. The ensemble median is shown in the top panels, and two individual forecasts as provided by CHIMERE and IFS are shown in the middle and lower panels. </w:t>
      </w:r>
    </w:p>
    <w:p w:rsidR="00F6191F" w:rsidRDefault="00F6191F">
      <w:pPr>
        <w:jc w:val="center"/>
      </w:pPr>
    </w:p>
    <w:p w:rsidR="00F6191F" w:rsidRDefault="00E5706D">
      <w:r>
        <w:rPr>
          <w:noProof/>
          <w:lang w:val="en-US" w:eastAsia="zh-CN"/>
        </w:rPr>
        <w:lastRenderedPageBreak/>
        <w:drawing>
          <wp:inline distT="0" distB="0" distL="0" distR="0">
            <wp:extent cx="5727700" cy="4295775"/>
            <wp:effectExtent l="0" t="0" r="1270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727700" cy="4295775"/>
                    </a:xfrm>
                    <a:prstGeom prst="rect">
                      <a:avLst/>
                    </a:prstGeom>
                    <a:noFill/>
                    <a:ln>
                      <a:noFill/>
                    </a:ln>
                  </pic:spPr>
                </pic:pic>
              </a:graphicData>
            </a:graphic>
          </wp:inline>
        </w:drawing>
      </w:r>
    </w:p>
    <w:p w:rsidR="00F6191F" w:rsidRDefault="00F6191F"/>
    <w:p w:rsidR="00F6191F" w:rsidRDefault="00E5706D">
      <w:pPr>
        <w:jc w:val="both"/>
      </w:pPr>
      <w:r>
        <w:rPr>
          <w:b/>
          <w:sz w:val="22"/>
          <w:szCs w:val="22"/>
        </w:rPr>
        <w:t>Figure 6b.</w:t>
      </w:r>
      <w:r>
        <w:rPr>
          <w:sz w:val="22"/>
          <w:szCs w:val="22"/>
        </w:rPr>
        <w:t xml:space="preserve">  Same as in Figure </w:t>
      </w:r>
      <w:r>
        <w:rPr>
          <w:rFonts w:hint="eastAsia"/>
          <w:sz w:val="22"/>
          <w:szCs w:val="22"/>
          <w:lang w:eastAsia="zh-CN"/>
        </w:rPr>
        <w:t>6</w:t>
      </w:r>
      <w:r>
        <w:rPr>
          <w:sz w:val="22"/>
          <w:szCs w:val="22"/>
        </w:rPr>
        <w:t>a, but for the individual forecasts from WRF-Chem-SMS, WRF-Chem-MPIM and EMEP.</w:t>
      </w:r>
      <w:r>
        <w:t xml:space="preserve"> </w:t>
      </w:r>
    </w:p>
    <w:p w:rsidR="00F6191F" w:rsidRDefault="00F6191F">
      <w:pPr>
        <w:jc w:val="center"/>
      </w:pPr>
    </w:p>
    <w:p w:rsidR="00F6191F" w:rsidRDefault="00E5706D">
      <w:r>
        <w:lastRenderedPageBreak/>
        <w:t xml:space="preserve"> </w:t>
      </w:r>
      <w:r>
        <w:rPr>
          <w:noProof/>
          <w:lang w:val="en-US" w:eastAsia="zh-CN"/>
        </w:rPr>
        <w:drawing>
          <wp:inline distT="0" distB="0" distL="0" distR="0">
            <wp:extent cx="5727700" cy="4295775"/>
            <wp:effectExtent l="0" t="0" r="12700"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727700" cy="4295775"/>
                    </a:xfrm>
                    <a:prstGeom prst="rect">
                      <a:avLst/>
                    </a:prstGeom>
                    <a:noFill/>
                    <a:ln>
                      <a:noFill/>
                    </a:ln>
                  </pic:spPr>
                </pic:pic>
              </a:graphicData>
            </a:graphic>
          </wp:inline>
        </w:drawing>
      </w:r>
    </w:p>
    <w:p w:rsidR="00F6191F" w:rsidRDefault="00F6191F">
      <w:pPr>
        <w:jc w:val="center"/>
      </w:pPr>
    </w:p>
    <w:p w:rsidR="00F6191F" w:rsidRDefault="00E5706D">
      <w:pPr>
        <w:jc w:val="both"/>
      </w:pPr>
      <w:r>
        <w:rPr>
          <w:b/>
          <w:sz w:val="22"/>
          <w:szCs w:val="22"/>
        </w:rPr>
        <w:t>Figure 6c.</w:t>
      </w:r>
      <w:r>
        <w:rPr>
          <w:sz w:val="22"/>
          <w:szCs w:val="22"/>
        </w:rPr>
        <w:t xml:space="preserve"> Same as Figure </w:t>
      </w:r>
      <w:r>
        <w:rPr>
          <w:rFonts w:hint="eastAsia"/>
          <w:sz w:val="22"/>
          <w:szCs w:val="22"/>
          <w:lang w:eastAsia="zh-CN"/>
        </w:rPr>
        <w:t>6</w:t>
      </w:r>
      <w:r>
        <w:rPr>
          <w:sz w:val="22"/>
          <w:szCs w:val="22"/>
        </w:rPr>
        <w:t>a but for the individual forecasts from LOTOS-EUROS, WRF-CMAQ and WARMS-CMAQ.</w:t>
      </w:r>
    </w:p>
    <w:p w:rsidR="00F6191F" w:rsidRDefault="00F6191F">
      <w:pPr>
        <w:jc w:val="center"/>
      </w:pPr>
    </w:p>
    <w:p w:rsidR="00F6191F" w:rsidRDefault="00F6191F"/>
    <w:p w:rsidR="00F6191F" w:rsidRDefault="00E5706D">
      <w:pPr>
        <w:rPr>
          <w:sz w:val="22"/>
          <w:szCs w:val="22"/>
        </w:rPr>
      </w:pPr>
      <w:r>
        <w:br w:type="page"/>
      </w:r>
    </w:p>
    <w:p w:rsidR="00F6191F" w:rsidRDefault="00F6191F"/>
    <w:p w:rsidR="00F6191F" w:rsidRDefault="00F6191F"/>
    <w:p w:rsidR="00F6191F" w:rsidRDefault="00F6191F"/>
    <w:p w:rsidR="00F6191F" w:rsidRDefault="00E5706D">
      <w:pPr>
        <w:rPr>
          <w:b/>
        </w:rPr>
      </w:pPr>
      <w:r>
        <w:rPr>
          <w:b/>
        </w:rPr>
        <w:t>5.  Inter-comparison of Individual Models</w:t>
      </w:r>
    </w:p>
    <w:p w:rsidR="00F6191F" w:rsidRDefault="00F6191F">
      <w:pPr>
        <w:pStyle w:val="ListParagraph"/>
        <w:ind w:left="360"/>
        <w:rPr>
          <w:b/>
        </w:rPr>
      </w:pPr>
    </w:p>
    <w:p w:rsidR="00F6191F" w:rsidRDefault="00E5706D">
      <w:pPr>
        <w:jc w:val="both"/>
      </w:pPr>
      <w:r>
        <w:t xml:space="preserve">We now present an inter-comparison of most of the models included in the operational MarcoPolo-Panda System. The participants to this inter-comparison examined in detail the daily forecasts performed for the month of March 2017 with particular emphasis on the results obtained during the first two weeks of the month. </w:t>
      </w:r>
    </w:p>
    <w:p w:rsidR="00F6191F" w:rsidRDefault="00F6191F">
      <w:pPr>
        <w:jc w:val="both"/>
      </w:pPr>
    </w:p>
    <w:p w:rsidR="00F6191F" w:rsidRDefault="00E5706D">
      <w:pPr>
        <w:jc w:val="both"/>
      </w:pPr>
      <w:r>
        <w:t>In the following Sections, we present selected chemical fields derived by the different models that participated in the comparison exercise, and highlight similarities and differences with the purpose of identifying the causes of the discrepancies between models and between models and observations. We first examine monthly mean surface concentrations obtained from a subset of the models involved in the inter-comparison. We then compare the time evolution associated with the model forecasts with observations made at specific surface measurement sites and present some correlations between calculated and measured concentrations at these sites.</w:t>
      </w:r>
    </w:p>
    <w:p w:rsidR="00F6191F" w:rsidRDefault="00F6191F">
      <w:pPr>
        <w:jc w:val="both"/>
      </w:pPr>
    </w:p>
    <w:p w:rsidR="00F6191F" w:rsidRDefault="00E5706D">
      <w:pPr>
        <w:ind w:firstLine="720"/>
        <w:rPr>
          <w:b/>
          <w:i/>
        </w:rPr>
      </w:pPr>
      <w:r>
        <w:rPr>
          <w:b/>
          <w:i/>
        </w:rPr>
        <w:t>5.1.  Comparison of average fields</w:t>
      </w:r>
    </w:p>
    <w:p w:rsidR="00F6191F" w:rsidRDefault="00F6191F">
      <w:pPr>
        <w:pStyle w:val="ListParagraph"/>
        <w:ind w:left="1080"/>
        <w:rPr>
          <w:b/>
          <w:i/>
        </w:rPr>
      </w:pPr>
    </w:p>
    <w:p w:rsidR="00F6191F" w:rsidRDefault="00E5706D">
      <w:pPr>
        <w:jc w:val="both"/>
      </w:pPr>
      <w:r>
        <w:t xml:space="preserve">We first compare the March 2017 monthly mean concentrations of different chemical species calculated by 7 models (IFS, LOTOS-EUROS, EMEP, SILAM, WRF-Chem-MPIM, WRF-Chem-SMS and CHIMERE) with surface measurements reported at different sites in the eastern part of China (www.pm25.int). </w:t>
      </w:r>
    </w:p>
    <w:p w:rsidR="00F6191F" w:rsidRDefault="00F6191F">
      <w:pPr>
        <w:jc w:val="both"/>
      </w:pPr>
    </w:p>
    <w:p w:rsidR="00F6191F" w:rsidRDefault="00E5706D">
      <w:pPr>
        <w:jc w:val="both"/>
      </w:pPr>
      <w:r>
        <w:t xml:space="preserve">Figure 7a shows the calculated and observed surface concentrations of carbon monoxide (CO).  We first note the substantial differences that exist between the individual model forecasts, probably reflecting differences in the adopted emissions or in the atmospheric production resulting from the oxidation of volatile organic compounds in the planetary boundary layer. Observations indicate that CO concentrations are generally higher than 900 ppbv, except near the south-eastern coast and in the south-western part of the country, where the values are as low as 500 to 700 ppbv. The models show considerably lower values, ranging from about 300-500 ppbv. The regions with the highest mean concentrations are located in the </w:t>
      </w:r>
      <w:r>
        <w:rPr>
          <w:rFonts w:hint="eastAsia"/>
          <w:lang w:eastAsia="zh-CN"/>
        </w:rPr>
        <w:t>N</w:t>
      </w:r>
      <w:r>
        <w:t>orth China</w:t>
      </w:r>
      <w:r>
        <w:rPr>
          <w:rFonts w:hint="eastAsia"/>
          <w:lang w:eastAsia="zh-CN"/>
        </w:rPr>
        <w:t xml:space="preserve"> Plain (NCP)</w:t>
      </w:r>
      <w:r>
        <w:t>, where values higher than 1200 ppbv are recorded. Relatively high values (close to 1000 ppbv) are also found in some urban areas (e.g., Hong Kong) near the south coast of the country.</w:t>
      </w:r>
    </w:p>
    <w:p w:rsidR="00F6191F" w:rsidRDefault="00F6191F">
      <w:pPr>
        <w:jc w:val="both"/>
      </w:pPr>
    </w:p>
    <w:p w:rsidR="00F6191F" w:rsidRDefault="00E5706D">
      <w:pPr>
        <w:jc w:val="both"/>
      </w:pPr>
      <w:r>
        <w:t xml:space="preserve">The models provide a rather different picture: most of them substantially underestimate the CO concentrations, in particular WRF-Chem-SMS, WRF-Chem-MPIM, EMEP and LOTOS EUROS. Higher concentrations are derived by SILAM and IFS. These models, however, produce peak concentrations in the region of </w:t>
      </w:r>
      <w:r>
        <w:rPr>
          <w:rFonts w:hint="eastAsia"/>
          <w:lang w:eastAsia="zh-CN"/>
        </w:rPr>
        <w:t xml:space="preserve">Sichuan Basin </w:t>
      </w:r>
      <w:r>
        <w:t xml:space="preserve">in contrast with the observations. Only IFS reproduces the high concentrations observed in northern China, probably because in this particular model the initial conditions are constrained by assimilated observations. Clearly, the performance of the models regarding the calculation of CO concentrations is not satisfactory. The discrepancies may be attributed to an underestimation of CO emissions, </w:t>
      </w:r>
      <w:r>
        <w:lastRenderedPageBreak/>
        <w:t>errors in the lateral boundary conditions or indirectly to an underestimation of the emissions for primary hydrocarbons.</w:t>
      </w:r>
    </w:p>
    <w:p w:rsidR="00F6191F" w:rsidRDefault="00F6191F">
      <w:pPr>
        <w:rPr>
          <w:lang w:eastAsia="zh-CN"/>
        </w:rPr>
      </w:pPr>
    </w:p>
    <w:p w:rsidR="00F6191F" w:rsidRDefault="00E5706D">
      <w:pPr>
        <w:jc w:val="center"/>
        <w:rPr>
          <w:lang w:eastAsia="zh-CN"/>
        </w:rPr>
      </w:pPr>
      <w:r>
        <w:rPr>
          <w:noProof/>
          <w:lang w:val="en-US" w:eastAsia="zh-CN"/>
        </w:rPr>
        <w:lastRenderedPageBreak/>
        <w:drawing>
          <wp:inline distT="0" distB="0" distL="0" distR="0">
            <wp:extent cx="4415155" cy="8690610"/>
            <wp:effectExtent l="0" t="0" r="4445" b="0"/>
            <wp:docPr id="10" name="图片 10" descr="D:\SMS\work\交流项目\PANDA\modeling\Mar_2017_evaluation\plots\Mar30\CO_panel_plot_resi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SMS\work\交流项目\PANDA\modeling\Mar_2017_evaluation\plots\Mar30\CO_panel_plot_resiz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4416927" cy="8694051"/>
                    </a:xfrm>
                    <a:prstGeom prst="rect">
                      <a:avLst/>
                    </a:prstGeom>
                    <a:noFill/>
                    <a:ln>
                      <a:noFill/>
                    </a:ln>
                  </pic:spPr>
                </pic:pic>
              </a:graphicData>
            </a:graphic>
          </wp:inline>
        </w:drawing>
      </w:r>
    </w:p>
    <w:p w:rsidR="00F6191F" w:rsidRDefault="00E5706D">
      <w:pPr>
        <w:jc w:val="center"/>
        <w:rPr>
          <w:lang w:eastAsia="zh-CN"/>
        </w:rPr>
      </w:pPr>
      <w:r>
        <w:rPr>
          <w:noProof/>
          <w:lang w:val="en-US" w:eastAsia="zh-CN"/>
        </w:rPr>
        <w:lastRenderedPageBreak/>
        <w:drawing>
          <wp:inline distT="0" distB="0" distL="0" distR="0">
            <wp:extent cx="4406900" cy="8674100"/>
            <wp:effectExtent l="0" t="0" r="0" b="12700"/>
            <wp:docPr id="9" name="图片 9" descr="D:\SMS\work\交流项目\PANDA\modeling\Mar_2017_evaluation\plots\Mar30\NO2_panel_plot_resi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SMS\work\交流项目\PANDA\modeling\Mar_2017_evaluation\plots\Mar30\NO2_panel_plot_resize.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4407643" cy="8675777"/>
                    </a:xfrm>
                    <a:prstGeom prst="rect">
                      <a:avLst/>
                    </a:prstGeom>
                    <a:noFill/>
                    <a:ln>
                      <a:noFill/>
                    </a:ln>
                  </pic:spPr>
                </pic:pic>
              </a:graphicData>
            </a:graphic>
          </wp:inline>
        </w:drawing>
      </w:r>
    </w:p>
    <w:p w:rsidR="00F6191F" w:rsidRDefault="00E5706D">
      <w:pPr>
        <w:jc w:val="center"/>
        <w:rPr>
          <w:lang w:eastAsia="zh-CN"/>
        </w:rPr>
      </w:pPr>
      <w:r>
        <w:rPr>
          <w:noProof/>
          <w:lang w:val="en-US" w:eastAsia="zh-CN"/>
        </w:rPr>
        <w:lastRenderedPageBreak/>
        <w:drawing>
          <wp:inline distT="0" distB="0" distL="0" distR="0">
            <wp:extent cx="4432300" cy="8743315"/>
            <wp:effectExtent l="0" t="0" r="0" b="0"/>
            <wp:docPr id="12" name="图片 12" descr="D:\SMS\work\交流项目\PANDA\modeling\Mar_2017_evaluation\plots\Mar30\O3_panel_plot_resi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SMS\work\交流项目\PANDA\modeling\Mar_2017_evaluation\plots\Mar30\O3_panel_plot_resize.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4433659" cy="8746139"/>
                    </a:xfrm>
                    <a:prstGeom prst="rect">
                      <a:avLst/>
                    </a:prstGeom>
                    <a:noFill/>
                    <a:ln>
                      <a:noFill/>
                    </a:ln>
                  </pic:spPr>
                </pic:pic>
              </a:graphicData>
            </a:graphic>
          </wp:inline>
        </w:drawing>
      </w:r>
    </w:p>
    <w:p w:rsidR="00F6191F" w:rsidRDefault="00F6191F"/>
    <w:p w:rsidR="00F6191F" w:rsidRDefault="00E5706D">
      <w:pPr>
        <w:jc w:val="center"/>
        <w:rPr>
          <w:b/>
          <w:i/>
          <w:lang w:eastAsia="zh-CN"/>
        </w:rPr>
      </w:pPr>
      <w:r>
        <w:rPr>
          <w:b/>
          <w:i/>
          <w:noProof/>
          <w:lang w:val="en-US" w:eastAsia="zh-CN"/>
        </w:rPr>
        <w:drawing>
          <wp:inline distT="0" distB="0" distL="0" distR="0">
            <wp:extent cx="4318000" cy="8500110"/>
            <wp:effectExtent l="0" t="0" r="0" b="8890"/>
            <wp:docPr id="4" name="图片 4" descr="D:\SMS\work\交流项目\PANDA\modeling\Mar_2017_evaluation\plots\Mar30\PM25_panel_plot_resi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SMS\work\交流项目\PANDA\modeling\Mar_2017_evaluation\plots\Mar30\PM25_panel_plot_resize.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4317373" cy="8498090"/>
                    </a:xfrm>
                    <a:prstGeom prst="rect">
                      <a:avLst/>
                    </a:prstGeom>
                    <a:noFill/>
                    <a:ln>
                      <a:noFill/>
                    </a:ln>
                  </pic:spPr>
                </pic:pic>
              </a:graphicData>
            </a:graphic>
          </wp:inline>
        </w:drawing>
      </w:r>
    </w:p>
    <w:p w:rsidR="00F6191F" w:rsidRDefault="00F6191F">
      <w:pPr>
        <w:jc w:val="center"/>
        <w:rPr>
          <w:lang w:eastAsia="zh-CN"/>
        </w:rPr>
      </w:pPr>
    </w:p>
    <w:p w:rsidR="00F6191F" w:rsidRDefault="00F6191F">
      <w:pPr>
        <w:rPr>
          <w:lang w:eastAsia="zh-CN"/>
        </w:rPr>
      </w:pPr>
    </w:p>
    <w:p w:rsidR="00F6191F" w:rsidRDefault="00E5706D">
      <w:pPr>
        <w:jc w:val="both"/>
        <w:rPr>
          <w:sz w:val="22"/>
          <w:szCs w:val="22"/>
        </w:rPr>
      </w:pPr>
      <w:r>
        <w:rPr>
          <w:b/>
          <w:sz w:val="22"/>
          <w:szCs w:val="22"/>
        </w:rPr>
        <w:t xml:space="preserve">Figure 7. </w:t>
      </w:r>
      <w:r>
        <w:rPr>
          <w:sz w:val="22"/>
          <w:szCs w:val="22"/>
        </w:rPr>
        <w:t>Monthly mean surface concentrations of CO, NO</w:t>
      </w:r>
      <w:r>
        <w:rPr>
          <w:sz w:val="22"/>
          <w:szCs w:val="22"/>
          <w:vertAlign w:val="subscript"/>
        </w:rPr>
        <w:t>2</w:t>
      </w:r>
      <w:r>
        <w:rPr>
          <w:sz w:val="22"/>
          <w:szCs w:val="22"/>
        </w:rPr>
        <w:t>, ozone (ppbv), and PM2.5 (</w:t>
      </w:r>
      <w:r>
        <w:rPr>
          <w:rFonts w:ascii="Calibri" w:hAnsi="Calibri"/>
          <w:sz w:val="22"/>
          <w:szCs w:val="22"/>
        </w:rPr>
        <w:t>µ</w:t>
      </w:r>
      <w:r>
        <w:rPr>
          <w:sz w:val="22"/>
          <w:szCs w:val="22"/>
        </w:rPr>
        <w:t>g m</w:t>
      </w:r>
      <w:r>
        <w:rPr>
          <w:sz w:val="22"/>
          <w:szCs w:val="22"/>
          <w:vertAlign w:val="superscript"/>
        </w:rPr>
        <w:t>-3</w:t>
      </w:r>
      <w:r>
        <w:rPr>
          <w:sz w:val="22"/>
          <w:szCs w:val="22"/>
        </w:rPr>
        <w:t>) provided for the month of March 2017 by different models: CHIMERE</w:t>
      </w:r>
      <w:r>
        <w:rPr>
          <w:rFonts w:hint="eastAsia"/>
          <w:sz w:val="22"/>
          <w:szCs w:val="22"/>
          <w:lang w:eastAsia="zh-CN"/>
        </w:rPr>
        <w:t xml:space="preserve"> (no CO)</w:t>
      </w:r>
      <w:r>
        <w:rPr>
          <w:sz w:val="22"/>
          <w:szCs w:val="22"/>
        </w:rPr>
        <w:t>, IFS, WRF-Chem-SMS, SILAM, WRF-Chem-MPIM, EMEP and LOTOS-EUROS</w:t>
      </w:r>
      <w:r>
        <w:rPr>
          <w:rFonts w:hint="eastAsia"/>
          <w:sz w:val="22"/>
          <w:szCs w:val="22"/>
          <w:lang w:eastAsia="zh-CN"/>
        </w:rPr>
        <w:t>.</w:t>
      </w:r>
      <w:r>
        <w:rPr>
          <w:sz w:val="22"/>
          <w:szCs w:val="22"/>
        </w:rPr>
        <w:t xml:space="preserve"> The monthly mean concentration values derived from observations at different monitoring stations are represented by dots in one of the lowest panels. The adopted colour scales are the same as the colour scales adopted to represent the model results. </w:t>
      </w:r>
    </w:p>
    <w:p w:rsidR="00F6191F" w:rsidRDefault="00F6191F">
      <w:pPr>
        <w:pStyle w:val="ListParagraph"/>
        <w:ind w:left="1440"/>
        <w:rPr>
          <w:b/>
          <w:i/>
        </w:rPr>
      </w:pPr>
    </w:p>
    <w:p w:rsidR="00F6191F" w:rsidRDefault="00F6191F">
      <w:pPr>
        <w:pStyle w:val="ListParagraph"/>
        <w:ind w:left="1440"/>
        <w:rPr>
          <w:b/>
          <w:i/>
        </w:rPr>
      </w:pPr>
    </w:p>
    <w:p w:rsidR="00F6191F" w:rsidRDefault="00E5706D">
      <w:pPr>
        <w:pStyle w:val="ListParagraph"/>
        <w:ind w:left="0"/>
        <w:jc w:val="both"/>
      </w:pPr>
      <w:r>
        <w:t>In the case of NO</w:t>
      </w:r>
      <w:r>
        <w:rPr>
          <w:vertAlign w:val="subscript"/>
        </w:rPr>
        <w:t>2</w:t>
      </w:r>
      <w:r>
        <w:t xml:space="preserve"> (Figure 7b), the observations show that the surface concentrations are highest in the north-eastern portion of China with a few urban hotspots. These patterns are well reproduced by the EMEP, SILAM and IFS models. The other models also produce high concentrations in urban areas, but with values that are lower than those provided by the monitoring stations.</w:t>
      </w:r>
    </w:p>
    <w:p w:rsidR="00F6191F" w:rsidRDefault="00F6191F">
      <w:pPr>
        <w:pStyle w:val="ListParagraph"/>
        <w:ind w:left="0"/>
        <w:jc w:val="both"/>
      </w:pPr>
    </w:p>
    <w:p w:rsidR="00F6191F" w:rsidRDefault="00E5706D">
      <w:pPr>
        <w:pStyle w:val="ListParagraph"/>
        <w:ind w:left="0"/>
        <w:jc w:val="both"/>
      </w:pPr>
      <w:r>
        <w:t>The mean surface ozone concentrations derived from measurements are lowest (about 20 ppbv) in the central part of China and highest (30-40 ppbv) near the east coast (Shanghai region), the south coast and the western part of China. Since nitrogen oxides tend to titrate ozone, the models that predict high NO</w:t>
      </w:r>
      <w:r>
        <w:rPr>
          <w:vertAlign w:val="subscript"/>
        </w:rPr>
        <w:t>2</w:t>
      </w:r>
      <w:r>
        <w:t xml:space="preserve"> concentrations derive the lowest ozone values (EMEP, SILAM, IFS).  The high NO</w:t>
      </w:r>
      <w:r>
        <w:rPr>
          <w:vertAlign w:val="subscript"/>
        </w:rPr>
        <w:t>2</w:t>
      </w:r>
      <w:r>
        <w:t xml:space="preserve"> concentrations predicted by EMEP are probably related to the large emissions used as shown in Fig 1. CHIMERE, WRF-Chem-SMS and to a lesser extent WRF-Chem-MPIM overestimate the mean ozone concentration during March. All models, however, produce a minimum in the ozone concentrations in north-eastern China, a pattern that is not visible in the observational data (Figure 7c).</w:t>
      </w:r>
    </w:p>
    <w:p w:rsidR="00F6191F" w:rsidRDefault="00F6191F">
      <w:pPr>
        <w:pStyle w:val="ListParagraph"/>
        <w:ind w:left="0"/>
        <w:jc w:val="both"/>
      </w:pPr>
    </w:p>
    <w:p w:rsidR="00F6191F" w:rsidRDefault="00E5706D">
      <w:pPr>
        <w:pStyle w:val="ListParagraph"/>
        <w:ind w:left="0"/>
        <w:jc w:val="both"/>
      </w:pPr>
      <w:r>
        <w:t xml:space="preserve">Finally, in the case of PM2.5 (Figure 7d), the measurements suggest the presence of high concentrations (higher than </w:t>
      </w:r>
      <w:r>
        <w:rPr>
          <w:rFonts w:hint="eastAsia"/>
          <w:lang w:eastAsia="zh-CN"/>
        </w:rPr>
        <w:t>80</w:t>
      </w:r>
      <w:r>
        <w:t xml:space="preserve"> </w:t>
      </w:r>
      <w:r>
        <w:rPr>
          <w:rFonts w:ascii="Calibri" w:hAnsi="Calibri"/>
        </w:rPr>
        <w:t>μ</w:t>
      </w:r>
      <w:r>
        <w:t>g m</w:t>
      </w:r>
      <w:r>
        <w:rPr>
          <w:vertAlign w:val="superscript"/>
        </w:rPr>
        <w:t>-3</w:t>
      </w:r>
      <w:r>
        <w:t xml:space="preserve">) in the region between Beijing and Shanghai. High abundances of PM2.5 are derived in this region by IFS, </w:t>
      </w:r>
      <w:r>
        <w:rPr>
          <w:rFonts w:hint="eastAsia"/>
          <w:lang w:eastAsia="zh-CN"/>
        </w:rPr>
        <w:t>SILAM</w:t>
      </w:r>
      <w:r>
        <w:t xml:space="preserve"> and to a lesser extent by LOTOS-EUROS</w:t>
      </w:r>
      <w:r>
        <w:rPr>
          <w:rFonts w:hint="eastAsia"/>
          <w:lang w:eastAsia="zh-CN"/>
        </w:rPr>
        <w:t>,</w:t>
      </w:r>
      <w:r>
        <w:t xml:space="preserve"> EMEP, </w:t>
      </w:r>
      <w:r>
        <w:rPr>
          <w:rFonts w:hint="eastAsia"/>
          <w:lang w:eastAsia="zh-CN"/>
        </w:rPr>
        <w:t xml:space="preserve">CHIMERE and </w:t>
      </w:r>
      <w:r>
        <w:t>WRF-Chem-SMS. Interestingly, most models produce another marked hotspot in the region of</w:t>
      </w:r>
      <w:r>
        <w:rPr>
          <w:rFonts w:hint="eastAsia"/>
          <w:lang w:eastAsia="zh-CN"/>
        </w:rPr>
        <w:t xml:space="preserve"> Sichuan Basin</w:t>
      </w:r>
      <w:r>
        <w:t xml:space="preserve">, while the observations suggest a less pronounced maximum with a more limited geographical extent. </w:t>
      </w:r>
    </w:p>
    <w:p w:rsidR="00F6191F" w:rsidRDefault="00F6191F">
      <w:pPr>
        <w:pStyle w:val="ListParagraph"/>
        <w:ind w:left="0"/>
        <w:jc w:val="both"/>
      </w:pPr>
    </w:p>
    <w:p w:rsidR="00F6191F" w:rsidRDefault="00E5706D">
      <w:pPr>
        <w:ind w:firstLine="720"/>
        <w:rPr>
          <w:b/>
          <w:i/>
        </w:rPr>
      </w:pPr>
      <w:r>
        <w:rPr>
          <w:b/>
          <w:i/>
        </w:rPr>
        <w:t>5.2.  Time Evolution of Median Forecasts</w:t>
      </w:r>
    </w:p>
    <w:p w:rsidR="00F6191F" w:rsidRDefault="00F6191F">
      <w:pPr>
        <w:rPr>
          <w:b/>
          <w:i/>
        </w:rPr>
      </w:pPr>
    </w:p>
    <w:p w:rsidR="00F6191F" w:rsidRDefault="00E5706D">
      <w:pPr>
        <w:jc w:val="both"/>
      </w:pPr>
      <w:r>
        <w:t>We now focus on the time period during which the most intensive comparison between models has been performed. We first examine the time evolution of surface ozone, NO</w:t>
      </w:r>
      <w:r>
        <w:rPr>
          <w:vertAlign w:val="subscript"/>
        </w:rPr>
        <w:t>2</w:t>
      </w:r>
      <w:r>
        <w:t xml:space="preserve"> and PM</w:t>
      </w:r>
      <w:r>
        <w:rPr>
          <w:vertAlign w:val="subscript"/>
        </w:rPr>
        <w:t>2.5</w:t>
      </w:r>
      <w:r>
        <w:t xml:space="preserve"> produced by the different models for the time period ranging from 1 to 15 March 2017, and for the three large metropolitan areas: Beijing, Shanghai and Guangzhou. In Figure 8, we compare the median concentrations of the three species with the median values derived from the different measurements provided by the network of instruments deployed in the three cities. The median model values are represented by the red curves, while the shaded areas highlight the dispersion of the calculated concentrations around the median values. </w:t>
      </w:r>
    </w:p>
    <w:p w:rsidR="00F6191F" w:rsidRDefault="00F6191F">
      <w:pPr>
        <w:jc w:val="both"/>
      </w:pPr>
    </w:p>
    <w:p w:rsidR="00F6191F" w:rsidRDefault="00E5706D">
      <w:pPr>
        <w:jc w:val="both"/>
        <w:rPr>
          <w:lang w:eastAsia="zh-CN"/>
        </w:rPr>
      </w:pPr>
      <w:r>
        <w:rPr>
          <w:i/>
        </w:rPr>
        <w:t>Beijing</w:t>
      </w:r>
      <w:r>
        <w:t>. Here the predictions of the PM</w:t>
      </w:r>
      <w:r>
        <w:rPr>
          <w:vertAlign w:val="subscript"/>
        </w:rPr>
        <w:t>2.5</w:t>
      </w:r>
      <w:r>
        <w:t xml:space="preserve"> concentrations follow very closely the observations. Two events with relatively high aerosol loads are visible, the first one between 2 and 5 March and the second one on 11 March. In the case of NO</w:t>
      </w:r>
      <w:r>
        <w:rPr>
          <w:vertAlign w:val="subscript"/>
        </w:rPr>
        <w:t>2</w:t>
      </w:r>
      <w:r>
        <w:t xml:space="preserve">, the models reproduce fairly well the daily variability reported by the monitoring stations, but on the average, they slightly overerestimate the concentrations values. The high concentrations appearing between 2 and </w:t>
      </w:r>
      <w:r>
        <w:lastRenderedPageBreak/>
        <w:t>5 March and between 10 and 11 March are well captured by the median of the models. Finally, the models reproduce the diurnal variability in the ozone concentrations, but they underestimate these concentrations by typically 20</w:t>
      </w:r>
      <w:r>
        <w:rPr>
          <w:rFonts w:hint="eastAsia"/>
          <w:lang w:eastAsia="zh-CN"/>
        </w:rPr>
        <w:t xml:space="preserve"> </w:t>
      </w:r>
      <w:r>
        <w:rPr>
          <w:rFonts w:ascii="Calibri" w:hAnsi="Calibri"/>
          <w:sz w:val="22"/>
          <w:szCs w:val="22"/>
        </w:rPr>
        <w:t>µ</w:t>
      </w:r>
      <w:r>
        <w:rPr>
          <w:sz w:val="22"/>
          <w:szCs w:val="22"/>
        </w:rPr>
        <w:t>g m</w:t>
      </w:r>
      <w:r>
        <w:rPr>
          <w:sz w:val="22"/>
          <w:szCs w:val="22"/>
          <w:vertAlign w:val="superscript"/>
        </w:rPr>
        <w:t>-3</w:t>
      </w:r>
      <w:r>
        <w:rPr>
          <w:lang w:eastAsia="zh-CN"/>
        </w:rPr>
        <w:t>.</w:t>
      </w:r>
    </w:p>
    <w:p w:rsidR="00F6191F" w:rsidRDefault="00F6191F">
      <w:pPr>
        <w:jc w:val="both"/>
      </w:pPr>
    </w:p>
    <w:p w:rsidR="00F6191F" w:rsidRDefault="00E5706D">
      <w:pPr>
        <w:jc w:val="both"/>
      </w:pPr>
      <w:r>
        <w:rPr>
          <w:i/>
        </w:rPr>
        <w:t>Shanghai</w:t>
      </w:r>
      <w:r>
        <w:t>. The calculated median concentrations of PM</w:t>
      </w:r>
      <w:r>
        <w:rPr>
          <w:vertAlign w:val="subscript"/>
        </w:rPr>
        <w:t>2.5</w:t>
      </w:r>
      <w:r>
        <w:t xml:space="preserve"> are in good agreement with the observations, especially between 10 and 15 March. During the first part of the simulation, the mean measured and calculated values are close, but the models produce peaks in the concentrations on 3, 6, 8 and 9 March that are higher than the observation. In the case of NO</w:t>
      </w:r>
      <w:r>
        <w:rPr>
          <w:vertAlign w:val="subscript"/>
        </w:rPr>
        <w:t>2</w:t>
      </w:r>
      <w:r>
        <w:t>, the agreement between calculated and measured concentrations is good. Again, the models severely underestimate the ozone concentrations.</w:t>
      </w:r>
    </w:p>
    <w:p w:rsidR="00F6191F" w:rsidRDefault="00F6191F">
      <w:pPr>
        <w:jc w:val="both"/>
      </w:pPr>
    </w:p>
    <w:p w:rsidR="00F6191F" w:rsidRDefault="00E5706D">
      <w:pPr>
        <w:jc w:val="both"/>
      </w:pPr>
      <w:r>
        <w:rPr>
          <w:i/>
        </w:rPr>
        <w:t>Guangzhou.</w:t>
      </w:r>
      <w:r>
        <w:t xml:space="preserve"> The median concentration of PM</w:t>
      </w:r>
      <w:r>
        <w:rPr>
          <w:vertAlign w:val="subscript"/>
        </w:rPr>
        <w:t>2.5</w:t>
      </w:r>
      <w:r>
        <w:t xml:space="preserve"> provided by the model is similar to the observation between 1 and 7 March. However, the model overestimates the concentrations between 7 and 11 March and underestimates them between 12 and 1</w:t>
      </w:r>
      <w:r>
        <w:rPr>
          <w:rFonts w:hint="eastAsia"/>
          <w:lang w:eastAsia="zh-CN"/>
        </w:rPr>
        <w:t>4</w:t>
      </w:r>
      <w:r>
        <w:t xml:space="preserve"> </w:t>
      </w:r>
      <w:r>
        <w:rPr>
          <w:rFonts w:hint="eastAsia"/>
          <w:lang w:eastAsia="zh-CN"/>
        </w:rPr>
        <w:t>M</w:t>
      </w:r>
      <w:r>
        <w:t>arch. For NO</w:t>
      </w:r>
      <w:r>
        <w:rPr>
          <w:vertAlign w:val="subscript"/>
        </w:rPr>
        <w:t>2</w:t>
      </w:r>
      <w:r>
        <w:t>, the agreement between models and measurements is relatively good during the first days of the month, but the models overestimates the amplitude of the daily variability observed after 6 March. Ozone is well simulated in this particular urban area, even though the daily peaks are sometimes over- or underestimated.</w:t>
      </w:r>
    </w:p>
    <w:p w:rsidR="00F6191F" w:rsidRDefault="00F6191F"/>
    <w:p w:rsidR="00F6191F" w:rsidRDefault="00E5706D">
      <w:pPr>
        <w:pStyle w:val="ListParagraph"/>
        <w:ind w:left="0"/>
        <w:jc w:val="center"/>
        <w:rPr>
          <w:rFonts w:ascii="Times New Roman" w:hAnsi="Times New Roman" w:cs="Times New Roman"/>
          <w:snapToGrid w:val="0"/>
          <w:color w:val="000000"/>
          <w:w w:val="0"/>
          <w:sz w:val="0"/>
          <w:szCs w:val="0"/>
          <w:u w:color="000000"/>
          <w:shd w:val="clear" w:color="000000" w:fill="000000"/>
          <w:lang w:eastAsia="zh-CN" w:bidi="zh-CN"/>
        </w:rPr>
      </w:pPr>
      <w:r>
        <w:rPr>
          <w:b/>
          <w:i/>
          <w:noProof/>
          <w:lang w:val="en-US" w:eastAsia="zh-CN"/>
        </w:rPr>
        <w:drawing>
          <wp:inline distT="0" distB="0" distL="0" distR="0">
            <wp:extent cx="5412105" cy="2997200"/>
            <wp:effectExtent l="0" t="0" r="0" b="0"/>
            <wp:docPr id="34" name="图片 34" descr="D:\SMS\work\交流项目\PANDA\modeling\Mar_2017_evaluation\plots\Katinka\timeseries_Beij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D:\SMS\work\交流项目\PANDA\modeling\Mar_2017_evaluation\plots\Katinka\timeseries_Beijing.png"/>
                    <pic:cNvPicPr>
                      <a:picLocks noChangeAspect="1" noChangeArrowheads="1"/>
                    </pic:cNvPicPr>
                  </pic:nvPicPr>
                  <pic:blipFill>
                    <a:blip r:embed="rId61">
                      <a:extLst>
                        <a:ext uri="{28A0092B-C50C-407E-A947-70E740481C1C}">
                          <a14:useLocalDpi xmlns:a14="http://schemas.microsoft.com/office/drawing/2010/main" val="0"/>
                        </a:ext>
                      </a:extLst>
                    </a:blip>
                    <a:srcRect l="6950" r="6844"/>
                    <a:stretch>
                      <a:fillRect/>
                    </a:stretch>
                  </pic:blipFill>
                  <pic:spPr>
                    <a:xfrm>
                      <a:off x="0" y="0"/>
                      <a:ext cx="5416101" cy="2999239"/>
                    </a:xfrm>
                    <a:prstGeom prst="rect">
                      <a:avLst/>
                    </a:prstGeom>
                    <a:noFill/>
                    <a:ln>
                      <a:noFill/>
                    </a:ln>
                  </pic:spPr>
                </pic:pic>
              </a:graphicData>
            </a:graphic>
          </wp:inline>
        </w:drawing>
      </w:r>
    </w:p>
    <w:p w:rsidR="00F6191F" w:rsidRDefault="00E5706D">
      <w:pPr>
        <w:pStyle w:val="ListParagraph"/>
        <w:ind w:left="0"/>
        <w:jc w:val="center"/>
        <w:rPr>
          <w:rFonts w:ascii="Times New Roman" w:hAnsi="Times New Roman" w:cs="Times New Roman"/>
          <w:snapToGrid w:val="0"/>
          <w:color w:val="000000"/>
          <w:w w:val="0"/>
          <w:sz w:val="0"/>
          <w:szCs w:val="0"/>
          <w:u w:color="000000"/>
          <w:shd w:val="clear" w:color="000000" w:fill="000000"/>
          <w:lang w:eastAsia="zh-CN" w:bidi="zh-CN"/>
        </w:rPr>
      </w:pPr>
      <w:r>
        <w:rPr>
          <w:rFonts w:ascii="Times New Roman" w:hAnsi="Times New Roman" w:cs="Times New Roman"/>
          <w:noProof/>
          <w:color w:val="000000"/>
          <w:w w:val="0"/>
          <w:sz w:val="0"/>
          <w:szCs w:val="0"/>
          <w:u w:color="000000"/>
          <w:shd w:val="clear" w:color="000000" w:fill="000000"/>
          <w:lang w:val="en-US" w:eastAsia="zh-CN"/>
        </w:rPr>
        <w:lastRenderedPageBreak/>
        <w:drawing>
          <wp:inline distT="0" distB="0" distL="0" distR="0">
            <wp:extent cx="5715000" cy="3272790"/>
            <wp:effectExtent l="0" t="0" r="0" b="3810"/>
            <wp:docPr id="40" name="图片 40" descr="D:\SMS\work\交流项目\PANDA\modeling\Mar_2017_evaluation\plots\Katinka\timeseries_Shangh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D:\SMS\work\交流项目\PANDA\modeling\Mar_2017_evaluation\plots\Katinka\timeseries_Shanghai.png"/>
                    <pic:cNvPicPr>
                      <a:picLocks noChangeAspect="1" noChangeArrowheads="1"/>
                    </pic:cNvPicPr>
                  </pic:nvPicPr>
                  <pic:blipFill>
                    <a:blip r:embed="rId62">
                      <a:extLst>
                        <a:ext uri="{28A0092B-C50C-407E-A947-70E740481C1C}">
                          <a14:useLocalDpi xmlns:a14="http://schemas.microsoft.com/office/drawing/2010/main" val="0"/>
                        </a:ext>
                      </a:extLst>
                    </a:blip>
                    <a:srcRect l="6386" r="7097" b="1053"/>
                    <a:stretch>
                      <a:fillRect/>
                    </a:stretch>
                  </pic:blipFill>
                  <pic:spPr>
                    <a:xfrm>
                      <a:off x="0" y="0"/>
                      <a:ext cx="5728976" cy="3280846"/>
                    </a:xfrm>
                    <a:prstGeom prst="rect">
                      <a:avLst/>
                    </a:prstGeom>
                    <a:noFill/>
                    <a:ln>
                      <a:noFill/>
                    </a:ln>
                  </pic:spPr>
                </pic:pic>
              </a:graphicData>
            </a:graphic>
          </wp:inline>
        </w:drawing>
      </w:r>
    </w:p>
    <w:p w:rsidR="00F6191F" w:rsidRDefault="00E5706D">
      <w:pPr>
        <w:pStyle w:val="ListParagraph"/>
        <w:ind w:left="0"/>
        <w:jc w:val="center"/>
        <w:rPr>
          <w:rFonts w:ascii="Times New Roman" w:hAnsi="Times New Roman" w:cs="Times New Roman"/>
          <w:snapToGrid w:val="0"/>
          <w:color w:val="000000"/>
          <w:w w:val="0"/>
          <w:sz w:val="0"/>
          <w:szCs w:val="0"/>
          <w:u w:color="000000"/>
          <w:shd w:val="clear" w:color="000000" w:fill="000000"/>
          <w:lang w:eastAsia="zh-CN" w:bidi="zh-CN"/>
        </w:rPr>
      </w:pPr>
      <w:r>
        <w:rPr>
          <w:rFonts w:ascii="Times New Roman" w:hAnsi="Times New Roman" w:cs="Times New Roman"/>
          <w:noProof/>
          <w:color w:val="000000"/>
          <w:w w:val="0"/>
          <w:sz w:val="0"/>
          <w:szCs w:val="0"/>
          <w:u w:color="000000"/>
          <w:shd w:val="clear" w:color="000000" w:fill="000000"/>
          <w:lang w:val="en-US" w:eastAsia="zh-CN"/>
        </w:rPr>
        <w:drawing>
          <wp:inline distT="0" distB="0" distL="0" distR="0">
            <wp:extent cx="5719445" cy="3175000"/>
            <wp:effectExtent l="0" t="0" r="0" b="0"/>
            <wp:docPr id="41" name="图片 41" descr="D:\SMS\work\交流项目\PANDA\modeling\Mar_2017_evaluation\plots\Katinka\timeseries_Guangzh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D:\SMS\work\交流项目\PANDA\modeling\Mar_2017_evaluation\plots\Katinka\timeseries_Guangzhou.png"/>
                    <pic:cNvPicPr>
                      <a:picLocks noChangeAspect="1" noChangeArrowheads="1"/>
                    </pic:cNvPicPr>
                  </pic:nvPicPr>
                  <pic:blipFill>
                    <a:blip r:embed="rId63">
                      <a:extLst>
                        <a:ext uri="{28A0092B-C50C-407E-A947-70E740481C1C}">
                          <a14:useLocalDpi xmlns:a14="http://schemas.microsoft.com/office/drawing/2010/main" val="0"/>
                        </a:ext>
                      </a:extLst>
                    </a:blip>
                    <a:srcRect l="6239" r="6977"/>
                    <a:stretch>
                      <a:fillRect/>
                    </a:stretch>
                  </pic:blipFill>
                  <pic:spPr>
                    <a:xfrm>
                      <a:off x="0" y="0"/>
                      <a:ext cx="5729800" cy="3180686"/>
                    </a:xfrm>
                    <a:prstGeom prst="rect">
                      <a:avLst/>
                    </a:prstGeom>
                    <a:noFill/>
                    <a:ln>
                      <a:noFill/>
                    </a:ln>
                  </pic:spPr>
                </pic:pic>
              </a:graphicData>
            </a:graphic>
          </wp:inline>
        </w:drawing>
      </w:r>
    </w:p>
    <w:p w:rsidR="00F6191F" w:rsidRDefault="00F6191F">
      <w:pPr>
        <w:pStyle w:val="ListParagraph"/>
        <w:ind w:left="0"/>
        <w:rPr>
          <w:rFonts w:ascii="Times New Roman" w:hAnsi="Times New Roman" w:cs="Times New Roman"/>
          <w:snapToGrid w:val="0"/>
          <w:color w:val="000000"/>
          <w:w w:val="0"/>
          <w:sz w:val="0"/>
          <w:szCs w:val="0"/>
          <w:u w:color="000000"/>
          <w:shd w:val="clear" w:color="000000" w:fill="000000"/>
          <w:lang w:eastAsia="zh-CN" w:bidi="zh-CN"/>
        </w:rPr>
      </w:pPr>
    </w:p>
    <w:p w:rsidR="00F6191F" w:rsidRDefault="00F6191F">
      <w:pPr>
        <w:pStyle w:val="ListParagraph"/>
        <w:ind w:left="0"/>
        <w:rPr>
          <w:rFonts w:ascii="Times New Roman" w:hAnsi="Times New Roman" w:cs="Times New Roman"/>
          <w:snapToGrid w:val="0"/>
          <w:color w:val="000000"/>
          <w:w w:val="0"/>
          <w:sz w:val="0"/>
          <w:szCs w:val="0"/>
          <w:u w:color="000000"/>
          <w:shd w:val="clear" w:color="000000" w:fill="000000"/>
          <w:lang w:eastAsia="zh-CN" w:bidi="zh-CN"/>
        </w:rPr>
      </w:pPr>
    </w:p>
    <w:p w:rsidR="00F6191F" w:rsidRDefault="00F6191F">
      <w:pPr>
        <w:pStyle w:val="ListParagraph"/>
        <w:ind w:left="0"/>
        <w:rPr>
          <w:rFonts w:ascii="Times New Roman" w:hAnsi="Times New Roman" w:cs="Times New Roman"/>
          <w:snapToGrid w:val="0"/>
          <w:color w:val="000000"/>
          <w:w w:val="0"/>
          <w:sz w:val="0"/>
          <w:szCs w:val="0"/>
          <w:u w:color="000000"/>
          <w:shd w:val="clear" w:color="000000" w:fill="000000"/>
          <w:lang w:eastAsia="zh-CN" w:bidi="zh-CN"/>
        </w:rPr>
      </w:pPr>
    </w:p>
    <w:p w:rsidR="00F6191F" w:rsidRDefault="00F6191F">
      <w:pPr>
        <w:pStyle w:val="ListParagraph"/>
        <w:ind w:left="0"/>
        <w:rPr>
          <w:rFonts w:ascii="Times New Roman" w:hAnsi="Times New Roman" w:cs="Times New Roman"/>
          <w:snapToGrid w:val="0"/>
          <w:color w:val="000000"/>
          <w:w w:val="0"/>
          <w:sz w:val="0"/>
          <w:szCs w:val="0"/>
          <w:u w:color="000000"/>
          <w:shd w:val="clear" w:color="000000" w:fill="000000"/>
          <w:lang w:eastAsia="zh-CN" w:bidi="zh-CN"/>
        </w:rPr>
      </w:pPr>
    </w:p>
    <w:p w:rsidR="00F6191F" w:rsidRDefault="00F6191F">
      <w:pPr>
        <w:pStyle w:val="ListParagraph"/>
        <w:ind w:left="0"/>
        <w:rPr>
          <w:b/>
          <w:i/>
          <w:lang w:eastAsia="zh-CN"/>
        </w:rPr>
      </w:pPr>
    </w:p>
    <w:p w:rsidR="00F6191F" w:rsidRDefault="00E5706D">
      <w:pPr>
        <w:jc w:val="both"/>
        <w:rPr>
          <w:sz w:val="22"/>
          <w:szCs w:val="22"/>
        </w:rPr>
      </w:pPr>
      <w:r>
        <w:rPr>
          <w:b/>
          <w:sz w:val="22"/>
          <w:szCs w:val="22"/>
        </w:rPr>
        <w:t>Figure 8.</w:t>
      </w:r>
      <w:r>
        <w:rPr>
          <w:sz w:val="22"/>
          <w:szCs w:val="22"/>
        </w:rPr>
        <w:t xml:space="preserve"> Evolution of the surface concentrations of ozone, nitrogen dioxide and particulate matter (diameter less than 2.5 microns). In black: median of calculated values by the different models, and in red: observed median concentrations.</w:t>
      </w:r>
    </w:p>
    <w:p w:rsidR="00F6191F" w:rsidRDefault="00F6191F">
      <w:pPr>
        <w:pStyle w:val="ListParagraph"/>
        <w:ind w:left="1080"/>
      </w:pPr>
    </w:p>
    <w:p w:rsidR="00F6191F" w:rsidRDefault="00F6191F">
      <w:pPr>
        <w:pStyle w:val="ListParagraph"/>
        <w:ind w:left="1080"/>
        <w:rPr>
          <w:b/>
          <w:i/>
        </w:rPr>
      </w:pPr>
    </w:p>
    <w:p w:rsidR="00F6191F" w:rsidRDefault="00E5706D">
      <w:pPr>
        <w:ind w:firstLine="720"/>
        <w:jc w:val="both"/>
        <w:rPr>
          <w:b/>
          <w:i/>
        </w:rPr>
      </w:pPr>
      <w:r>
        <w:rPr>
          <w:b/>
          <w:i/>
        </w:rPr>
        <w:t>5.3.  Statistical Errors</w:t>
      </w:r>
    </w:p>
    <w:p w:rsidR="00F6191F" w:rsidRDefault="00F6191F">
      <w:pPr>
        <w:jc w:val="both"/>
      </w:pPr>
    </w:p>
    <w:p w:rsidR="00F6191F" w:rsidRDefault="00E5706D">
      <w:pPr>
        <w:jc w:val="both"/>
      </w:pPr>
      <w:r>
        <w:t>In order to measure the performance of the individual models involved in the present inter-comparison, we have calculated statistical measures of the model results for the chosen period of 1-15 March 2017. These measures include the mean bias (BIAS), the mean normalized bias (MNMBIAS), the root mean square error (RMSE), the fractional gross error (FGE) and the correlation coefficient for ozone, NO</w:t>
      </w:r>
      <w:r>
        <w:rPr>
          <w:vertAlign w:val="subscript"/>
        </w:rPr>
        <w:t>2</w:t>
      </w:r>
      <w:r>
        <w:t xml:space="preserve"> and PM2.5 (Table 4). They apply to the </w:t>
      </w:r>
      <w:r>
        <w:lastRenderedPageBreak/>
        <w:t>data for the 37 cities considered in the MarcoPolo-Panda forecast system. The same statistical measures are also provided for the ensemble median.</w:t>
      </w:r>
    </w:p>
    <w:p w:rsidR="00F6191F" w:rsidRDefault="00F6191F">
      <w:pPr>
        <w:jc w:val="both"/>
      </w:pPr>
    </w:p>
    <w:p w:rsidR="00F6191F" w:rsidRDefault="00F6191F">
      <w:pPr>
        <w:ind w:left="360" w:firstLine="720"/>
        <w:jc w:val="both"/>
      </w:pPr>
    </w:p>
    <w:p w:rsidR="00F6191F" w:rsidRDefault="00E5706D">
      <w:pPr>
        <w:jc w:val="both"/>
        <w:rPr>
          <w:b/>
        </w:rPr>
      </w:pPr>
      <w:r>
        <w:rPr>
          <w:rFonts w:ascii="Arial" w:hAnsi="Arial"/>
          <w:b/>
          <w:sz w:val="22"/>
          <w:szCs w:val="22"/>
        </w:rPr>
        <w:t>Table 4:</w:t>
      </w:r>
      <w:r>
        <w:rPr>
          <w:rFonts w:ascii="Arial" w:hAnsi="Arial"/>
          <w:sz w:val="22"/>
          <w:szCs w:val="22"/>
        </w:rPr>
        <w:t xml:space="preserve"> </w:t>
      </w:r>
      <w:r>
        <w:rPr>
          <w:b/>
        </w:rPr>
        <w:t>For the period 1st to 15th March 2017, statistical measures (mean bias (BIAS), mean normalized bias (</w:t>
      </w:r>
      <w:r>
        <w:rPr>
          <w:rFonts w:hint="eastAsia"/>
          <w:b/>
          <w:lang w:eastAsia="zh-CN"/>
        </w:rPr>
        <w:t>MNB</w:t>
      </w:r>
      <w:r>
        <w:rPr>
          <w:b/>
        </w:rPr>
        <w:t>)</w:t>
      </w:r>
      <w:r>
        <w:rPr>
          <w:rFonts w:hint="eastAsia"/>
          <w:b/>
          <w:lang w:eastAsia="zh-CN"/>
        </w:rPr>
        <w:t>,</w:t>
      </w:r>
      <w:r>
        <w:rPr>
          <w:b/>
        </w:rPr>
        <w:t xml:space="preserve"> root mean square error (RMSE)</w:t>
      </w:r>
      <w:r>
        <w:rPr>
          <w:rFonts w:hint="eastAsia"/>
          <w:b/>
          <w:lang w:eastAsia="zh-CN"/>
        </w:rPr>
        <w:t>, FGE (</w:t>
      </w:r>
      <w:r>
        <w:rPr>
          <w:b/>
          <w:lang w:eastAsia="zh-CN"/>
        </w:rPr>
        <w:t>fractional gross error</w:t>
      </w:r>
      <w:r>
        <w:rPr>
          <w:rFonts w:hint="eastAsia"/>
          <w:b/>
          <w:lang w:eastAsia="zh-CN"/>
        </w:rPr>
        <w:t xml:space="preserve">) and correlation </w:t>
      </w:r>
      <w:r>
        <w:rPr>
          <w:b/>
          <w:lang w:eastAsia="zh-CN"/>
        </w:rPr>
        <w:t>coefficient</w:t>
      </w:r>
      <w:r>
        <w:rPr>
          <w:rFonts w:hint="eastAsia"/>
          <w:b/>
          <w:lang w:eastAsia="zh-CN"/>
        </w:rPr>
        <w:t xml:space="preserve"> </w:t>
      </w:r>
      <w:r>
        <w:rPr>
          <w:b/>
        </w:rPr>
        <w:t>calculated for the forecast of O</w:t>
      </w:r>
      <w:r>
        <w:rPr>
          <w:b/>
          <w:vertAlign w:val="subscript"/>
        </w:rPr>
        <w:t>3</w:t>
      </w:r>
      <w:r>
        <w:rPr>
          <w:b/>
        </w:rPr>
        <w:t>, NO</w:t>
      </w:r>
      <w:r>
        <w:rPr>
          <w:b/>
          <w:vertAlign w:val="subscript"/>
        </w:rPr>
        <w:t>2</w:t>
      </w:r>
      <w:r>
        <w:rPr>
          <w:b/>
        </w:rPr>
        <w:t xml:space="preserve"> and PM</w:t>
      </w:r>
      <w:r>
        <w:rPr>
          <w:b/>
          <w:vertAlign w:val="subscript"/>
        </w:rPr>
        <w:t>2.5</w:t>
      </w:r>
      <w:r>
        <w:rPr>
          <w:b/>
        </w:rPr>
        <w:t xml:space="preserve"> concentrations for all models and for the ensemble median at all stations/cities, for which the MarcoPolo-Panda Forecast is available. The correlation is based on 1-hourly data.</w:t>
      </w:r>
    </w:p>
    <w:p w:rsidR="00F6191F" w:rsidRDefault="00F6191F">
      <w:pPr>
        <w:jc w:val="both"/>
      </w:pPr>
    </w:p>
    <w:tbl>
      <w:tblPr>
        <w:tblW w:w="9123" w:type="dxa"/>
        <w:tblInd w:w="53" w:type="dxa"/>
        <w:tblBorders>
          <w:top w:val="single" w:sz="2" w:space="0" w:color="000001"/>
          <w:left w:val="single" w:sz="2" w:space="0" w:color="000001"/>
          <w:bottom w:val="single" w:sz="2" w:space="0" w:color="000001"/>
          <w:insideH w:val="single" w:sz="2" w:space="0" w:color="000001"/>
        </w:tblBorders>
        <w:tblLayout w:type="fixed"/>
        <w:tblCellMar>
          <w:top w:w="55" w:type="dxa"/>
          <w:left w:w="51" w:type="dxa"/>
          <w:bottom w:w="55" w:type="dxa"/>
          <w:right w:w="55" w:type="dxa"/>
        </w:tblCellMar>
        <w:tblLook w:val="04A0" w:firstRow="1" w:lastRow="0" w:firstColumn="1" w:lastColumn="0" w:noHBand="0" w:noVBand="1"/>
      </w:tblPr>
      <w:tblGrid>
        <w:gridCol w:w="849"/>
        <w:gridCol w:w="709"/>
        <w:gridCol w:w="992"/>
        <w:gridCol w:w="992"/>
        <w:gridCol w:w="851"/>
        <w:gridCol w:w="946"/>
        <w:gridCol w:w="946"/>
        <w:gridCol w:w="946"/>
        <w:gridCol w:w="946"/>
        <w:gridCol w:w="946"/>
      </w:tblGrid>
      <w:tr w:rsidR="00F6191F">
        <w:tc>
          <w:tcPr>
            <w:tcW w:w="1558" w:type="dxa"/>
            <w:gridSpan w:val="2"/>
            <w:tcBorders>
              <w:top w:val="single" w:sz="2" w:space="0" w:color="000001"/>
              <w:left w:val="single" w:sz="2" w:space="0" w:color="000001"/>
              <w:bottom w:val="single" w:sz="2" w:space="0" w:color="000001"/>
            </w:tcBorders>
            <w:shd w:val="clear" w:color="auto" w:fill="auto"/>
            <w:tcMar>
              <w:left w:w="51" w:type="dxa"/>
            </w:tcMar>
          </w:tcPr>
          <w:p w:rsidR="00F6191F" w:rsidRDefault="00F6191F">
            <w:pPr>
              <w:pStyle w:val="TableContents"/>
              <w:rPr>
                <w:rFonts w:asciiTheme="minorHAnsi" w:hAnsiTheme="minorHAnsi"/>
                <w:sz w:val="22"/>
                <w:szCs w:val="22"/>
                <w:lang w:val="en-GB"/>
              </w:rPr>
            </w:pPr>
          </w:p>
        </w:tc>
        <w:tc>
          <w:tcPr>
            <w:tcW w:w="992"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Ensemble Median</w:t>
            </w:r>
          </w:p>
        </w:tc>
        <w:tc>
          <w:tcPr>
            <w:tcW w:w="992"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CHIMERE</w:t>
            </w:r>
          </w:p>
        </w:tc>
        <w:tc>
          <w:tcPr>
            <w:tcW w:w="851"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IFS</w:t>
            </w:r>
          </w:p>
        </w:tc>
        <w:tc>
          <w:tcPr>
            <w:tcW w:w="946"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WRF</w:t>
            </w:r>
            <w:r>
              <w:rPr>
                <w:rFonts w:asciiTheme="minorHAnsi" w:eastAsia="SimSun" w:hAnsiTheme="minorHAnsi"/>
                <w:b/>
                <w:bCs/>
                <w:sz w:val="22"/>
                <w:szCs w:val="22"/>
                <w:lang w:val="en-GB"/>
              </w:rPr>
              <w:t>-C</w:t>
            </w:r>
            <w:r>
              <w:rPr>
                <w:rFonts w:asciiTheme="minorHAnsi" w:hAnsiTheme="minorHAnsi"/>
                <w:b/>
                <w:bCs/>
                <w:sz w:val="22"/>
                <w:szCs w:val="22"/>
                <w:lang w:val="en-GB"/>
              </w:rPr>
              <w:t>hem SMS</w:t>
            </w:r>
          </w:p>
        </w:tc>
        <w:tc>
          <w:tcPr>
            <w:tcW w:w="946"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SILAM</w:t>
            </w:r>
          </w:p>
        </w:tc>
        <w:tc>
          <w:tcPr>
            <w:tcW w:w="946"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WRF</w:t>
            </w:r>
            <w:r>
              <w:rPr>
                <w:rFonts w:asciiTheme="minorHAnsi" w:eastAsia="SimSun" w:hAnsiTheme="minorHAnsi"/>
                <w:b/>
                <w:bCs/>
                <w:sz w:val="22"/>
                <w:szCs w:val="22"/>
                <w:lang w:val="en-GB"/>
              </w:rPr>
              <w:t>-C</w:t>
            </w:r>
            <w:r>
              <w:rPr>
                <w:rFonts w:asciiTheme="minorHAnsi" w:hAnsiTheme="minorHAnsi"/>
                <w:b/>
                <w:bCs/>
                <w:sz w:val="22"/>
                <w:szCs w:val="22"/>
                <w:lang w:val="en-GB"/>
              </w:rPr>
              <w:t>hem MPIM</w:t>
            </w:r>
          </w:p>
        </w:tc>
        <w:tc>
          <w:tcPr>
            <w:tcW w:w="946"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EMEP</w:t>
            </w:r>
          </w:p>
        </w:tc>
        <w:tc>
          <w:tcPr>
            <w:tcW w:w="946"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LOTOS</w:t>
            </w:r>
            <w:r>
              <w:rPr>
                <w:rFonts w:asciiTheme="minorHAnsi" w:eastAsia="SimSun" w:hAnsiTheme="minorHAnsi" w:hint="eastAsia"/>
                <w:b/>
                <w:bCs/>
                <w:sz w:val="22"/>
                <w:szCs w:val="22"/>
                <w:lang w:val="en-GB"/>
              </w:rPr>
              <w:t>-</w:t>
            </w:r>
            <w:r>
              <w:rPr>
                <w:rFonts w:asciiTheme="minorHAnsi" w:hAnsiTheme="minorHAnsi"/>
                <w:b/>
                <w:bCs/>
                <w:sz w:val="22"/>
                <w:szCs w:val="22"/>
                <w:lang w:val="en-GB"/>
              </w:rPr>
              <w:t>EUROS</w:t>
            </w:r>
          </w:p>
        </w:tc>
      </w:tr>
      <w:tr w:rsidR="00F6191F">
        <w:tc>
          <w:tcPr>
            <w:tcW w:w="849" w:type="dxa"/>
            <w:vMerge w:val="restart"/>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eastAsia="SimSun" w:hAnsiTheme="minorHAnsi"/>
                <w:b/>
                <w:bCs/>
                <w:sz w:val="22"/>
                <w:szCs w:val="22"/>
                <w:lang w:val="en-GB"/>
              </w:rPr>
            </w:pPr>
            <w:r>
              <w:rPr>
                <w:rFonts w:asciiTheme="minorHAnsi" w:hAnsiTheme="minorHAnsi"/>
                <w:b/>
                <w:bCs/>
                <w:sz w:val="22"/>
                <w:szCs w:val="22"/>
                <w:lang w:val="en-GB"/>
              </w:rPr>
              <w:t>BIAS</w:t>
            </w:r>
          </w:p>
          <w:p w:rsidR="00F6191F" w:rsidRDefault="00E5706D">
            <w:pPr>
              <w:pStyle w:val="TableContents"/>
              <w:rPr>
                <w:rFonts w:asciiTheme="minorHAnsi" w:eastAsia="SimSun" w:hAnsiTheme="minorHAnsi"/>
                <w:b/>
                <w:bCs/>
                <w:sz w:val="22"/>
                <w:szCs w:val="22"/>
                <w:vertAlign w:val="subscript"/>
                <w:lang w:val="en-GB"/>
              </w:rPr>
            </w:pPr>
            <w:r>
              <w:rPr>
                <w:rFonts w:asciiTheme="minorHAnsi" w:eastAsia="SimSun" w:hAnsiTheme="minorHAnsi"/>
                <w:b/>
                <w:bCs/>
                <w:sz w:val="22"/>
                <w:szCs w:val="22"/>
                <w:lang w:val="en-GB"/>
              </w:rPr>
              <w:t>(</w:t>
            </w:r>
            <w:r>
              <w:rPr>
                <w:rFonts w:asciiTheme="minorHAnsi" w:hAnsiTheme="minorHAnsi"/>
                <w:b/>
                <w:sz w:val="22"/>
                <w:szCs w:val="22"/>
                <w:lang w:val="en-GB"/>
              </w:rPr>
              <w:t>μg m</w:t>
            </w:r>
            <w:r>
              <w:rPr>
                <w:rFonts w:asciiTheme="minorHAnsi" w:hAnsiTheme="minorHAnsi"/>
                <w:b/>
                <w:sz w:val="22"/>
                <w:szCs w:val="22"/>
                <w:vertAlign w:val="superscript"/>
                <w:lang w:val="en-GB"/>
              </w:rPr>
              <w:t>-3</w:t>
            </w:r>
            <w:r>
              <w:rPr>
                <w:rFonts w:asciiTheme="minorHAnsi" w:eastAsia="SimSun" w:hAnsiTheme="minorHAnsi" w:hint="eastAsia"/>
                <w:b/>
                <w:bCs/>
                <w:sz w:val="22"/>
                <w:szCs w:val="22"/>
                <w:lang w:val="en-GB"/>
              </w:rPr>
              <w:t>)</w:t>
            </w:r>
          </w:p>
        </w:tc>
        <w:tc>
          <w:tcPr>
            <w:tcW w:w="709"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O3</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-14.7</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-5.9</w:t>
            </w:r>
          </w:p>
        </w:tc>
        <w:tc>
          <w:tcPr>
            <w:tcW w:w="851"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-13.1</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13.2</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-25.8</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-23.9</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-23.3</w:t>
            </w:r>
          </w:p>
        </w:tc>
        <w:tc>
          <w:tcPr>
            <w:tcW w:w="946"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-4.0</w:t>
            </w:r>
          </w:p>
        </w:tc>
      </w:tr>
      <w:tr w:rsidR="00F6191F">
        <w:tc>
          <w:tcPr>
            <w:tcW w:w="849" w:type="dxa"/>
            <w:vMerge/>
            <w:tcBorders>
              <w:top w:val="single" w:sz="2" w:space="0" w:color="000001"/>
              <w:left w:val="single" w:sz="2" w:space="0" w:color="000001"/>
              <w:bottom w:val="single" w:sz="2" w:space="0" w:color="000001"/>
            </w:tcBorders>
            <w:shd w:val="clear" w:color="auto" w:fill="auto"/>
            <w:tcMar>
              <w:left w:w="51" w:type="dxa"/>
            </w:tcMar>
          </w:tcPr>
          <w:p w:rsidR="00F6191F" w:rsidRDefault="00F6191F">
            <w:pPr>
              <w:pStyle w:val="TableContents"/>
              <w:rPr>
                <w:rFonts w:asciiTheme="minorHAnsi" w:hAnsiTheme="minorHAnsi"/>
                <w:b/>
                <w:bCs/>
                <w:sz w:val="22"/>
                <w:szCs w:val="22"/>
                <w:lang w:val="en-GB"/>
              </w:rPr>
            </w:pPr>
          </w:p>
        </w:tc>
        <w:tc>
          <w:tcPr>
            <w:tcW w:w="709"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NO2</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-3.0</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-4.8</w:t>
            </w:r>
          </w:p>
        </w:tc>
        <w:tc>
          <w:tcPr>
            <w:tcW w:w="851"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-2.0</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-4.2</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-3.1</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8.4</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11.2</w:t>
            </w:r>
          </w:p>
        </w:tc>
        <w:tc>
          <w:tcPr>
            <w:tcW w:w="946"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-20.7</w:t>
            </w:r>
          </w:p>
        </w:tc>
      </w:tr>
      <w:tr w:rsidR="00F6191F">
        <w:tc>
          <w:tcPr>
            <w:tcW w:w="849" w:type="dxa"/>
            <w:vMerge/>
            <w:tcBorders>
              <w:top w:val="single" w:sz="2" w:space="0" w:color="000001"/>
              <w:left w:val="single" w:sz="2" w:space="0" w:color="000001"/>
              <w:bottom w:val="single" w:sz="2" w:space="0" w:color="000001"/>
            </w:tcBorders>
            <w:shd w:val="clear" w:color="auto" w:fill="auto"/>
            <w:tcMar>
              <w:left w:w="51" w:type="dxa"/>
            </w:tcMar>
          </w:tcPr>
          <w:p w:rsidR="00F6191F" w:rsidRDefault="00F6191F">
            <w:pPr>
              <w:pStyle w:val="TableContents"/>
              <w:rPr>
                <w:rFonts w:asciiTheme="minorHAnsi" w:hAnsiTheme="minorHAnsi"/>
                <w:b/>
                <w:bCs/>
                <w:sz w:val="22"/>
                <w:szCs w:val="22"/>
                <w:lang w:val="en-GB"/>
              </w:rPr>
            </w:pPr>
          </w:p>
        </w:tc>
        <w:tc>
          <w:tcPr>
            <w:tcW w:w="709"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PM2.5</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3.7</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-2.0</w:t>
            </w:r>
          </w:p>
        </w:tc>
        <w:tc>
          <w:tcPr>
            <w:tcW w:w="851"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39.7</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-4.5</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21.7</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5.5</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12.4</w:t>
            </w:r>
          </w:p>
        </w:tc>
        <w:tc>
          <w:tcPr>
            <w:tcW w:w="946"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-4.7</w:t>
            </w:r>
          </w:p>
        </w:tc>
      </w:tr>
      <w:tr w:rsidR="00F6191F">
        <w:tc>
          <w:tcPr>
            <w:tcW w:w="849" w:type="dxa"/>
            <w:vMerge w:val="restart"/>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eastAsia="SimSun" w:hAnsiTheme="minorHAnsi"/>
                <w:b/>
                <w:bCs/>
                <w:sz w:val="22"/>
                <w:szCs w:val="22"/>
                <w:lang w:val="en-GB"/>
              </w:rPr>
            </w:pPr>
            <w:r>
              <w:rPr>
                <w:rFonts w:asciiTheme="minorHAnsi" w:eastAsia="SimSun" w:hAnsiTheme="minorHAnsi"/>
                <w:b/>
                <w:bCs/>
                <w:sz w:val="22"/>
                <w:szCs w:val="22"/>
                <w:lang w:val="en-GB"/>
              </w:rPr>
              <w:t>MNB</w:t>
            </w:r>
          </w:p>
          <w:p w:rsidR="00F6191F" w:rsidRDefault="00E5706D">
            <w:pPr>
              <w:pStyle w:val="TableContents"/>
              <w:rPr>
                <w:rFonts w:asciiTheme="minorHAnsi" w:eastAsia="SimSun" w:hAnsiTheme="minorHAnsi"/>
                <w:b/>
                <w:bCs/>
                <w:sz w:val="22"/>
                <w:szCs w:val="22"/>
                <w:lang w:val="en-GB"/>
              </w:rPr>
            </w:pPr>
            <w:r>
              <w:rPr>
                <w:rFonts w:asciiTheme="minorHAnsi" w:eastAsia="SimSun" w:hAnsiTheme="minorHAnsi"/>
                <w:b/>
                <w:bCs/>
                <w:sz w:val="22"/>
                <w:szCs w:val="22"/>
                <w:lang w:val="en-GB"/>
              </w:rPr>
              <w:t>(%)</w:t>
            </w:r>
          </w:p>
        </w:tc>
        <w:tc>
          <w:tcPr>
            <w:tcW w:w="709"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O3</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-41%</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-24%</w:t>
            </w:r>
          </w:p>
        </w:tc>
        <w:tc>
          <w:tcPr>
            <w:tcW w:w="851"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-51%</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13%</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-74%</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-69%</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-74%</w:t>
            </w:r>
          </w:p>
        </w:tc>
        <w:tc>
          <w:tcPr>
            <w:tcW w:w="946"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-7%</w:t>
            </w:r>
          </w:p>
        </w:tc>
      </w:tr>
      <w:tr w:rsidR="00F6191F">
        <w:tc>
          <w:tcPr>
            <w:tcW w:w="849" w:type="dxa"/>
            <w:vMerge/>
            <w:tcBorders>
              <w:top w:val="single" w:sz="2" w:space="0" w:color="000001"/>
              <w:left w:val="single" w:sz="2" w:space="0" w:color="000001"/>
              <w:bottom w:val="single" w:sz="2" w:space="0" w:color="000001"/>
            </w:tcBorders>
            <w:shd w:val="clear" w:color="auto" w:fill="auto"/>
            <w:tcMar>
              <w:left w:w="51" w:type="dxa"/>
            </w:tcMar>
          </w:tcPr>
          <w:p w:rsidR="00F6191F" w:rsidRDefault="00F6191F">
            <w:pPr>
              <w:pStyle w:val="TableContents"/>
              <w:rPr>
                <w:rFonts w:asciiTheme="minorHAnsi" w:hAnsiTheme="minorHAnsi"/>
                <w:b/>
                <w:bCs/>
                <w:sz w:val="22"/>
                <w:szCs w:val="22"/>
                <w:lang w:val="en-GB"/>
              </w:rPr>
            </w:pPr>
          </w:p>
        </w:tc>
        <w:tc>
          <w:tcPr>
            <w:tcW w:w="709"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NO2</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-8%</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-18%</w:t>
            </w:r>
          </w:p>
        </w:tc>
        <w:tc>
          <w:tcPr>
            <w:tcW w:w="851"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-13%</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-19%</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-11%</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13%</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15%</w:t>
            </w:r>
          </w:p>
        </w:tc>
        <w:tc>
          <w:tcPr>
            <w:tcW w:w="946"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-52%</w:t>
            </w:r>
          </w:p>
        </w:tc>
      </w:tr>
      <w:tr w:rsidR="00F6191F">
        <w:tc>
          <w:tcPr>
            <w:tcW w:w="849" w:type="dxa"/>
            <w:vMerge/>
            <w:tcBorders>
              <w:top w:val="single" w:sz="2" w:space="0" w:color="000001"/>
              <w:left w:val="single" w:sz="2" w:space="0" w:color="000001"/>
              <w:bottom w:val="single" w:sz="2" w:space="0" w:color="000001"/>
            </w:tcBorders>
            <w:shd w:val="clear" w:color="auto" w:fill="auto"/>
            <w:tcMar>
              <w:left w:w="51" w:type="dxa"/>
            </w:tcMar>
          </w:tcPr>
          <w:p w:rsidR="00F6191F" w:rsidRDefault="00F6191F">
            <w:pPr>
              <w:pStyle w:val="TableContents"/>
              <w:rPr>
                <w:rFonts w:asciiTheme="minorHAnsi" w:hAnsiTheme="minorHAnsi"/>
                <w:b/>
                <w:bCs/>
                <w:sz w:val="22"/>
                <w:szCs w:val="22"/>
                <w:lang w:val="en-GB"/>
              </w:rPr>
            </w:pPr>
          </w:p>
        </w:tc>
        <w:tc>
          <w:tcPr>
            <w:tcW w:w="709"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PM2.5</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8%</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-4%</w:t>
            </w:r>
          </w:p>
        </w:tc>
        <w:tc>
          <w:tcPr>
            <w:tcW w:w="851"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44%</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-18%</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22%</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11%</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9%</w:t>
            </w:r>
          </w:p>
        </w:tc>
        <w:tc>
          <w:tcPr>
            <w:tcW w:w="946"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-7%</w:t>
            </w:r>
          </w:p>
        </w:tc>
      </w:tr>
      <w:tr w:rsidR="00F6191F">
        <w:tc>
          <w:tcPr>
            <w:tcW w:w="849" w:type="dxa"/>
            <w:vMerge w:val="restart"/>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eastAsia="SimSun" w:hAnsiTheme="minorHAnsi"/>
                <w:b/>
                <w:bCs/>
                <w:sz w:val="22"/>
                <w:szCs w:val="22"/>
                <w:lang w:val="en-GB"/>
              </w:rPr>
            </w:pPr>
            <w:r>
              <w:rPr>
                <w:rFonts w:asciiTheme="minorHAnsi" w:hAnsiTheme="minorHAnsi"/>
                <w:b/>
                <w:bCs/>
                <w:sz w:val="22"/>
                <w:szCs w:val="22"/>
                <w:lang w:val="en-GB"/>
              </w:rPr>
              <w:t>RMSE</w:t>
            </w:r>
          </w:p>
          <w:p w:rsidR="00F6191F" w:rsidRDefault="00E5706D">
            <w:pPr>
              <w:pStyle w:val="TableContents"/>
              <w:rPr>
                <w:rFonts w:asciiTheme="minorHAnsi" w:eastAsia="SimSun" w:hAnsiTheme="minorHAnsi"/>
                <w:b/>
                <w:bCs/>
                <w:sz w:val="22"/>
                <w:szCs w:val="22"/>
                <w:lang w:val="en-GB"/>
              </w:rPr>
            </w:pPr>
            <w:r>
              <w:rPr>
                <w:rFonts w:asciiTheme="minorHAnsi" w:eastAsia="SimSun" w:hAnsiTheme="minorHAnsi"/>
                <w:b/>
                <w:bCs/>
                <w:sz w:val="22"/>
                <w:szCs w:val="22"/>
                <w:lang w:val="en-GB"/>
              </w:rPr>
              <w:t>(</w:t>
            </w:r>
            <w:r>
              <w:rPr>
                <w:rFonts w:asciiTheme="minorHAnsi" w:hAnsiTheme="minorHAnsi"/>
                <w:b/>
                <w:sz w:val="22"/>
                <w:szCs w:val="22"/>
                <w:lang w:val="en-GB"/>
              </w:rPr>
              <w:t>μg m</w:t>
            </w:r>
            <w:r>
              <w:rPr>
                <w:rFonts w:asciiTheme="minorHAnsi" w:hAnsiTheme="minorHAnsi"/>
                <w:b/>
                <w:sz w:val="22"/>
                <w:szCs w:val="22"/>
                <w:vertAlign w:val="superscript"/>
                <w:lang w:val="en-GB"/>
              </w:rPr>
              <w:t>-3</w:t>
            </w:r>
            <w:r>
              <w:rPr>
                <w:rFonts w:asciiTheme="minorHAnsi" w:eastAsia="SimSun" w:hAnsiTheme="minorHAnsi"/>
                <w:b/>
                <w:bCs/>
                <w:sz w:val="22"/>
                <w:szCs w:val="22"/>
                <w:lang w:val="en-GB"/>
              </w:rPr>
              <w:t>)</w:t>
            </w:r>
          </w:p>
        </w:tc>
        <w:tc>
          <w:tcPr>
            <w:tcW w:w="709"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O3</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32.8</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27.0</w:t>
            </w:r>
          </w:p>
        </w:tc>
        <w:tc>
          <w:tcPr>
            <w:tcW w:w="851"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29.4</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41.8</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44.6</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44.7</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42.9</w:t>
            </w:r>
          </w:p>
        </w:tc>
        <w:tc>
          <w:tcPr>
            <w:tcW w:w="946"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37.2</w:t>
            </w:r>
          </w:p>
        </w:tc>
      </w:tr>
      <w:tr w:rsidR="00F6191F">
        <w:tc>
          <w:tcPr>
            <w:tcW w:w="849" w:type="dxa"/>
            <w:vMerge/>
            <w:tcBorders>
              <w:top w:val="single" w:sz="2" w:space="0" w:color="000001"/>
              <w:left w:val="single" w:sz="2" w:space="0" w:color="000001"/>
              <w:bottom w:val="single" w:sz="2" w:space="0" w:color="000001"/>
            </w:tcBorders>
            <w:shd w:val="clear" w:color="auto" w:fill="auto"/>
            <w:tcMar>
              <w:left w:w="51" w:type="dxa"/>
            </w:tcMar>
          </w:tcPr>
          <w:p w:rsidR="00F6191F" w:rsidRDefault="00F6191F">
            <w:pPr>
              <w:pStyle w:val="TableContents"/>
              <w:rPr>
                <w:rFonts w:asciiTheme="minorHAnsi" w:hAnsiTheme="minorHAnsi"/>
                <w:b/>
                <w:bCs/>
                <w:sz w:val="22"/>
                <w:szCs w:val="22"/>
                <w:lang w:val="en-GB"/>
              </w:rPr>
            </w:pPr>
          </w:p>
        </w:tc>
        <w:tc>
          <w:tcPr>
            <w:tcW w:w="709"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NO2</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21.8</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24.4</w:t>
            </w:r>
          </w:p>
        </w:tc>
        <w:tc>
          <w:tcPr>
            <w:tcW w:w="851"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23.1</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31.9</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28.5</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28.9</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34.0</w:t>
            </w:r>
          </w:p>
        </w:tc>
        <w:tc>
          <w:tcPr>
            <w:tcW w:w="946"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34.4</w:t>
            </w:r>
          </w:p>
        </w:tc>
      </w:tr>
      <w:tr w:rsidR="00F6191F">
        <w:tc>
          <w:tcPr>
            <w:tcW w:w="849" w:type="dxa"/>
            <w:vMerge/>
            <w:tcBorders>
              <w:top w:val="single" w:sz="2" w:space="0" w:color="000001"/>
              <w:left w:val="single" w:sz="2" w:space="0" w:color="000001"/>
              <w:bottom w:val="single" w:sz="2" w:space="0" w:color="000001"/>
            </w:tcBorders>
            <w:shd w:val="clear" w:color="auto" w:fill="auto"/>
            <w:tcMar>
              <w:left w:w="51" w:type="dxa"/>
            </w:tcMar>
          </w:tcPr>
          <w:p w:rsidR="00F6191F" w:rsidRDefault="00F6191F">
            <w:pPr>
              <w:pStyle w:val="TableContents"/>
              <w:rPr>
                <w:rFonts w:asciiTheme="minorHAnsi" w:hAnsiTheme="minorHAnsi"/>
                <w:b/>
                <w:bCs/>
                <w:sz w:val="22"/>
                <w:szCs w:val="22"/>
                <w:lang w:val="en-GB"/>
              </w:rPr>
            </w:pPr>
          </w:p>
        </w:tc>
        <w:tc>
          <w:tcPr>
            <w:tcW w:w="709"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PM2.5</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30.2</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31.5</w:t>
            </w:r>
          </w:p>
        </w:tc>
        <w:tc>
          <w:tcPr>
            <w:tcW w:w="851"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71.3</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35.8</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47.7</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39.1</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52.4</w:t>
            </w:r>
          </w:p>
        </w:tc>
        <w:tc>
          <w:tcPr>
            <w:tcW w:w="946"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27.3</w:t>
            </w:r>
          </w:p>
        </w:tc>
      </w:tr>
      <w:tr w:rsidR="00F6191F">
        <w:tc>
          <w:tcPr>
            <w:tcW w:w="849" w:type="dxa"/>
            <w:vMerge w:val="restart"/>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eastAsia="SimSun" w:hAnsiTheme="minorHAnsi"/>
                <w:b/>
                <w:bCs/>
                <w:sz w:val="22"/>
                <w:szCs w:val="22"/>
                <w:lang w:val="en-GB"/>
              </w:rPr>
            </w:pPr>
            <w:r>
              <w:rPr>
                <w:rFonts w:asciiTheme="minorHAnsi" w:hAnsiTheme="minorHAnsi"/>
                <w:b/>
                <w:bCs/>
                <w:sz w:val="22"/>
                <w:szCs w:val="22"/>
                <w:lang w:val="en-GB"/>
              </w:rPr>
              <w:t>FGE</w:t>
            </w:r>
          </w:p>
          <w:p w:rsidR="00F6191F" w:rsidRDefault="00E5706D">
            <w:pPr>
              <w:pStyle w:val="TableContents"/>
              <w:rPr>
                <w:rFonts w:asciiTheme="minorHAnsi" w:eastAsia="SimSun" w:hAnsiTheme="minorHAnsi"/>
                <w:b/>
                <w:bCs/>
                <w:sz w:val="22"/>
                <w:szCs w:val="22"/>
                <w:lang w:val="en-GB"/>
              </w:rPr>
            </w:pPr>
            <w:r>
              <w:rPr>
                <w:rFonts w:asciiTheme="minorHAnsi" w:eastAsia="SimSun" w:hAnsiTheme="minorHAnsi"/>
                <w:b/>
                <w:bCs/>
                <w:sz w:val="22"/>
                <w:szCs w:val="22"/>
                <w:lang w:val="en-GB"/>
              </w:rPr>
              <w:t>(%)</w:t>
            </w:r>
          </w:p>
        </w:tc>
        <w:tc>
          <w:tcPr>
            <w:tcW w:w="709"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O3</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70%</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58%</w:t>
            </w:r>
          </w:p>
        </w:tc>
        <w:tc>
          <w:tcPr>
            <w:tcW w:w="851"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72%</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64%</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99%</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97%</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99%</w:t>
            </w:r>
          </w:p>
        </w:tc>
        <w:tc>
          <w:tcPr>
            <w:tcW w:w="946"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65%</w:t>
            </w:r>
          </w:p>
        </w:tc>
      </w:tr>
      <w:tr w:rsidR="00F6191F">
        <w:tc>
          <w:tcPr>
            <w:tcW w:w="849" w:type="dxa"/>
            <w:vMerge/>
            <w:tcBorders>
              <w:top w:val="single" w:sz="2" w:space="0" w:color="000001"/>
              <w:left w:val="single" w:sz="2" w:space="0" w:color="000001"/>
              <w:bottom w:val="single" w:sz="2" w:space="0" w:color="000001"/>
            </w:tcBorders>
            <w:shd w:val="clear" w:color="auto" w:fill="auto"/>
            <w:tcMar>
              <w:left w:w="51" w:type="dxa"/>
            </w:tcMar>
          </w:tcPr>
          <w:p w:rsidR="00F6191F" w:rsidRDefault="00F6191F">
            <w:pPr>
              <w:pStyle w:val="TableContents"/>
              <w:rPr>
                <w:rFonts w:asciiTheme="minorHAnsi" w:hAnsiTheme="minorHAnsi"/>
                <w:b/>
                <w:bCs/>
                <w:sz w:val="22"/>
                <w:szCs w:val="22"/>
                <w:lang w:val="en-GB"/>
              </w:rPr>
            </w:pPr>
          </w:p>
        </w:tc>
        <w:tc>
          <w:tcPr>
            <w:tcW w:w="709"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NO2</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38%</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45%</w:t>
            </w:r>
          </w:p>
        </w:tc>
        <w:tc>
          <w:tcPr>
            <w:tcW w:w="851"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44%</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53%</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51%</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43%</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48%</w:t>
            </w:r>
          </w:p>
        </w:tc>
        <w:tc>
          <w:tcPr>
            <w:tcW w:w="946"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66%</w:t>
            </w:r>
          </w:p>
        </w:tc>
      </w:tr>
      <w:tr w:rsidR="00F6191F">
        <w:tc>
          <w:tcPr>
            <w:tcW w:w="849" w:type="dxa"/>
            <w:vMerge/>
            <w:tcBorders>
              <w:top w:val="single" w:sz="2" w:space="0" w:color="000001"/>
              <w:left w:val="single" w:sz="2" w:space="0" w:color="000001"/>
              <w:bottom w:val="single" w:sz="2" w:space="0" w:color="000001"/>
            </w:tcBorders>
            <w:shd w:val="clear" w:color="auto" w:fill="auto"/>
            <w:tcMar>
              <w:left w:w="51" w:type="dxa"/>
            </w:tcMar>
          </w:tcPr>
          <w:p w:rsidR="00F6191F" w:rsidRDefault="00F6191F">
            <w:pPr>
              <w:pStyle w:val="TableContents"/>
              <w:rPr>
                <w:rFonts w:asciiTheme="minorHAnsi" w:hAnsiTheme="minorHAnsi"/>
                <w:b/>
                <w:bCs/>
                <w:sz w:val="22"/>
                <w:szCs w:val="22"/>
                <w:lang w:val="en-GB"/>
              </w:rPr>
            </w:pPr>
          </w:p>
        </w:tc>
        <w:tc>
          <w:tcPr>
            <w:tcW w:w="709"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PM2.5</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38%</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44%</w:t>
            </w:r>
          </w:p>
        </w:tc>
        <w:tc>
          <w:tcPr>
            <w:tcW w:w="851"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62%</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54%</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52%</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49%</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47%</w:t>
            </w:r>
          </w:p>
        </w:tc>
        <w:tc>
          <w:tcPr>
            <w:tcW w:w="946"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39%</w:t>
            </w:r>
          </w:p>
        </w:tc>
      </w:tr>
      <w:tr w:rsidR="00F6191F">
        <w:tc>
          <w:tcPr>
            <w:tcW w:w="849" w:type="dxa"/>
            <w:vMerge w:val="restart"/>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Corr. Coeff.</w:t>
            </w:r>
          </w:p>
        </w:tc>
        <w:tc>
          <w:tcPr>
            <w:tcW w:w="709"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O3</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0.60</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0.70</w:t>
            </w:r>
          </w:p>
        </w:tc>
        <w:tc>
          <w:tcPr>
            <w:tcW w:w="851"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0.72</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0.45</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0.32</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0.32</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0.39</w:t>
            </w:r>
          </w:p>
        </w:tc>
        <w:tc>
          <w:tcPr>
            <w:tcW w:w="946"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0.38</w:t>
            </w:r>
          </w:p>
        </w:tc>
      </w:tr>
      <w:tr w:rsidR="00F6191F">
        <w:tc>
          <w:tcPr>
            <w:tcW w:w="849" w:type="dxa"/>
            <w:vMerge/>
            <w:tcBorders>
              <w:top w:val="single" w:sz="2" w:space="0" w:color="000001"/>
              <w:left w:val="single" w:sz="2" w:space="0" w:color="000001"/>
              <w:bottom w:val="single" w:sz="2" w:space="0" w:color="000001"/>
            </w:tcBorders>
            <w:shd w:val="clear" w:color="auto" w:fill="auto"/>
            <w:tcMar>
              <w:left w:w="51" w:type="dxa"/>
            </w:tcMar>
          </w:tcPr>
          <w:p w:rsidR="00F6191F" w:rsidRDefault="00F6191F">
            <w:pPr>
              <w:pStyle w:val="TableContents"/>
              <w:rPr>
                <w:rFonts w:asciiTheme="minorHAnsi" w:hAnsiTheme="minorHAnsi"/>
                <w:b/>
                <w:bCs/>
                <w:sz w:val="22"/>
                <w:szCs w:val="22"/>
                <w:lang w:val="en-GB"/>
              </w:rPr>
            </w:pPr>
          </w:p>
        </w:tc>
        <w:tc>
          <w:tcPr>
            <w:tcW w:w="709"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NO2</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0.64</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0.62</w:t>
            </w:r>
          </w:p>
        </w:tc>
        <w:tc>
          <w:tcPr>
            <w:tcW w:w="851"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0.65</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0.47</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0.41</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0.50</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0.46</w:t>
            </w:r>
          </w:p>
        </w:tc>
        <w:tc>
          <w:tcPr>
            <w:tcW w:w="946"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0.31</w:t>
            </w:r>
          </w:p>
        </w:tc>
      </w:tr>
      <w:tr w:rsidR="00F6191F">
        <w:tc>
          <w:tcPr>
            <w:tcW w:w="849" w:type="dxa"/>
            <w:vMerge/>
            <w:tcBorders>
              <w:top w:val="single" w:sz="2" w:space="0" w:color="000001"/>
              <w:left w:val="single" w:sz="2" w:space="0" w:color="000001"/>
              <w:bottom w:val="single" w:sz="2" w:space="0" w:color="000001"/>
            </w:tcBorders>
            <w:shd w:val="clear" w:color="auto" w:fill="auto"/>
            <w:tcMar>
              <w:left w:w="51" w:type="dxa"/>
            </w:tcMar>
          </w:tcPr>
          <w:p w:rsidR="00F6191F" w:rsidRDefault="00F6191F">
            <w:pPr>
              <w:pStyle w:val="TableContents"/>
              <w:rPr>
                <w:rFonts w:asciiTheme="minorHAnsi" w:hAnsiTheme="minorHAnsi"/>
                <w:b/>
                <w:bCs/>
                <w:sz w:val="22"/>
                <w:szCs w:val="22"/>
                <w:lang w:val="en-GB"/>
              </w:rPr>
            </w:pPr>
          </w:p>
        </w:tc>
        <w:tc>
          <w:tcPr>
            <w:tcW w:w="709" w:type="dxa"/>
            <w:tcBorders>
              <w:top w:val="single" w:sz="2" w:space="0" w:color="000001"/>
              <w:left w:val="single" w:sz="2" w:space="0" w:color="000001"/>
              <w:bottom w:val="single" w:sz="2" w:space="0" w:color="000001"/>
            </w:tcBorders>
            <w:shd w:val="clear" w:color="auto" w:fill="auto"/>
            <w:tcMar>
              <w:left w:w="51" w:type="dxa"/>
            </w:tcMar>
          </w:tcPr>
          <w:p w:rsidR="00F6191F" w:rsidRDefault="00E5706D">
            <w:pPr>
              <w:pStyle w:val="TableContents"/>
              <w:rPr>
                <w:rFonts w:asciiTheme="minorHAnsi" w:hAnsiTheme="minorHAnsi"/>
                <w:b/>
                <w:bCs/>
                <w:sz w:val="22"/>
                <w:szCs w:val="22"/>
                <w:lang w:val="en-GB"/>
              </w:rPr>
            </w:pPr>
            <w:r>
              <w:rPr>
                <w:rFonts w:asciiTheme="minorHAnsi" w:hAnsiTheme="minorHAnsi"/>
                <w:b/>
                <w:bCs/>
                <w:sz w:val="22"/>
                <w:szCs w:val="22"/>
                <w:lang w:val="en-GB"/>
              </w:rPr>
              <w:t>PM2.5</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0.62</w:t>
            </w:r>
          </w:p>
        </w:tc>
        <w:tc>
          <w:tcPr>
            <w:tcW w:w="992"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0.55</w:t>
            </w:r>
          </w:p>
        </w:tc>
        <w:tc>
          <w:tcPr>
            <w:tcW w:w="851"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0.47</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0.54</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0.66</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Theme="minorHAnsi" w:hAnsiTheme="minorHAnsi"/>
                <w:sz w:val="22"/>
                <w:szCs w:val="22"/>
                <w:lang w:val="en-GB"/>
              </w:rPr>
              <w:t>0.36</w:t>
            </w:r>
          </w:p>
        </w:tc>
        <w:tc>
          <w:tcPr>
            <w:tcW w:w="946" w:type="dxa"/>
            <w:tcBorders>
              <w:top w:val="single" w:sz="2" w:space="0" w:color="000001"/>
              <w:left w:val="single" w:sz="2" w:space="0" w:color="000001"/>
              <w:bottom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0.49</w:t>
            </w:r>
          </w:p>
        </w:tc>
        <w:tc>
          <w:tcPr>
            <w:tcW w:w="946"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rsidR="00F6191F" w:rsidRDefault="00E5706D">
            <w:pPr>
              <w:pStyle w:val="TableContents"/>
              <w:rPr>
                <w:rFonts w:asciiTheme="minorHAnsi" w:hAnsiTheme="minorHAnsi"/>
                <w:sz w:val="22"/>
                <w:szCs w:val="22"/>
                <w:lang w:val="en-GB"/>
              </w:rPr>
            </w:pPr>
            <w:r>
              <w:rPr>
                <w:rFonts w:ascii="Calibri" w:hAnsi="Calibri"/>
                <w:sz w:val="22"/>
                <w:szCs w:val="22"/>
                <w:lang w:val="en-GB"/>
              </w:rPr>
              <w:t>0.64</w:t>
            </w:r>
          </w:p>
        </w:tc>
      </w:tr>
    </w:tbl>
    <w:p w:rsidR="00F6191F" w:rsidRDefault="00F6191F">
      <w:pPr>
        <w:jc w:val="both"/>
      </w:pPr>
    </w:p>
    <w:p w:rsidR="00F6191F" w:rsidRDefault="00E5706D">
      <w:pPr>
        <w:jc w:val="both"/>
        <w:rPr>
          <w:lang w:eastAsia="zh-CN"/>
        </w:rPr>
      </w:pPr>
      <w:r>
        <w:t xml:space="preserve">When examining the mean bias of the ensemble median, the values are equal to -14.7, -3.0 and +3.7 </w:t>
      </w:r>
      <w:r>
        <w:rPr>
          <w:rFonts w:ascii="Calibri" w:hAnsi="Calibri"/>
        </w:rPr>
        <w:t>μ</w:t>
      </w:r>
      <w:r>
        <w:t>g m</w:t>
      </w:r>
      <w:r>
        <w:rPr>
          <w:vertAlign w:val="superscript"/>
        </w:rPr>
        <w:t>-3</w:t>
      </w:r>
      <w:r>
        <w:t xml:space="preserve"> for ozone, NO</w:t>
      </w:r>
      <w:r>
        <w:rPr>
          <w:vertAlign w:val="subscript"/>
        </w:rPr>
        <w:t>2</w:t>
      </w:r>
      <w:r>
        <w:t xml:space="preserve"> and PM2.5, respectively, to be compared to mean concentration values of the order of 50 </w:t>
      </w:r>
      <w:r>
        <w:rPr>
          <w:rFonts w:ascii="Calibri" w:hAnsi="Calibri"/>
        </w:rPr>
        <w:t>μ</w:t>
      </w:r>
      <w:r>
        <w:t>g m</w:t>
      </w:r>
      <w:r>
        <w:rPr>
          <w:vertAlign w:val="superscript"/>
        </w:rPr>
        <w:t>-3</w:t>
      </w:r>
      <w:r>
        <w:t xml:space="preserve"> for these three different species. Table </w:t>
      </w:r>
      <w:r>
        <w:rPr>
          <w:rFonts w:hint="eastAsia"/>
          <w:lang w:eastAsia="zh-CN"/>
        </w:rPr>
        <w:t>4</w:t>
      </w:r>
      <w:r>
        <w:t xml:space="preserve"> shows in the case of ozone, individual models are characterized by biases ranging from -25.8 (SILAM) to +13.2 </w:t>
      </w:r>
      <w:r>
        <w:rPr>
          <w:rFonts w:ascii="Calibri" w:hAnsi="Calibri"/>
        </w:rPr>
        <w:t>μ</w:t>
      </w:r>
      <w:r>
        <w:t>g m</w:t>
      </w:r>
      <w:r>
        <w:rPr>
          <w:vertAlign w:val="superscript"/>
        </w:rPr>
        <w:t xml:space="preserve">-3 </w:t>
      </w:r>
      <w:r>
        <w:t xml:space="preserve">(WRF-Chem-SMS) with the smallest absolute value equal to 5.9 </w:t>
      </w:r>
      <w:r>
        <w:rPr>
          <w:rFonts w:ascii="Calibri" w:hAnsi="Calibri"/>
        </w:rPr>
        <w:t>μ</w:t>
      </w:r>
      <w:r>
        <w:t>g m</w:t>
      </w:r>
      <w:r>
        <w:rPr>
          <w:vertAlign w:val="superscript"/>
        </w:rPr>
        <w:t>-3</w:t>
      </w:r>
      <w:r>
        <w:t xml:space="preserve"> (CHIMERE) The corresponding numbers range from – 20.7 </w:t>
      </w:r>
      <w:r>
        <w:rPr>
          <w:rFonts w:ascii="Calibri" w:hAnsi="Calibri"/>
        </w:rPr>
        <w:t>μ</w:t>
      </w:r>
      <w:r>
        <w:t>g m</w:t>
      </w:r>
      <w:r>
        <w:rPr>
          <w:vertAlign w:val="superscript"/>
        </w:rPr>
        <w:t xml:space="preserve">-3 </w:t>
      </w:r>
      <w:r>
        <w:t xml:space="preserve">(LOTOS-EUROS) to + 11.2 </w:t>
      </w:r>
      <w:r>
        <w:rPr>
          <w:rFonts w:ascii="Calibri" w:hAnsi="Calibri"/>
        </w:rPr>
        <w:t>μ</w:t>
      </w:r>
      <w:r>
        <w:t>g m</w:t>
      </w:r>
      <w:r>
        <w:rPr>
          <w:vertAlign w:val="superscript"/>
        </w:rPr>
        <w:t xml:space="preserve">-3 </w:t>
      </w:r>
      <w:r>
        <w:t>(EMEP)</w:t>
      </w:r>
      <w:r>
        <w:rPr>
          <w:vertAlign w:val="superscript"/>
        </w:rPr>
        <w:t xml:space="preserve"> </w:t>
      </w:r>
      <w:r>
        <w:t xml:space="preserve">with the smallest absolute bias of </w:t>
      </w:r>
      <w:r>
        <w:rPr>
          <w:rFonts w:hint="eastAsia"/>
          <w:lang w:eastAsia="zh-CN"/>
        </w:rPr>
        <w:t>-</w:t>
      </w:r>
      <w:r>
        <w:t xml:space="preserve">2.0 </w:t>
      </w:r>
      <w:r>
        <w:rPr>
          <w:rFonts w:ascii="Calibri" w:hAnsi="Calibri"/>
        </w:rPr>
        <w:t>μ</w:t>
      </w:r>
      <w:r>
        <w:t>g m</w:t>
      </w:r>
      <w:r>
        <w:rPr>
          <w:vertAlign w:val="superscript"/>
        </w:rPr>
        <w:t>-3</w:t>
      </w:r>
      <w:r>
        <w:t xml:space="preserve"> (IFS) for NO</w:t>
      </w:r>
      <w:r>
        <w:rPr>
          <w:vertAlign w:val="subscript"/>
        </w:rPr>
        <w:t>2</w:t>
      </w:r>
      <w:r>
        <w:t xml:space="preserve">. For PM2.5, they range from -4.7 </w:t>
      </w:r>
      <w:r>
        <w:rPr>
          <w:rFonts w:ascii="Calibri" w:hAnsi="Calibri"/>
        </w:rPr>
        <w:t>μ</w:t>
      </w:r>
      <w:r>
        <w:t>g m</w:t>
      </w:r>
      <w:r>
        <w:rPr>
          <w:vertAlign w:val="superscript"/>
        </w:rPr>
        <w:t xml:space="preserve">-3 </w:t>
      </w:r>
      <w:r>
        <w:t xml:space="preserve">(LOTOS-EUROS) to +39.6 </w:t>
      </w:r>
      <w:r>
        <w:rPr>
          <w:rFonts w:ascii="Calibri" w:hAnsi="Calibri"/>
        </w:rPr>
        <w:t>μ</w:t>
      </w:r>
      <w:r>
        <w:t>g m</w:t>
      </w:r>
      <w:r>
        <w:rPr>
          <w:vertAlign w:val="superscript"/>
        </w:rPr>
        <w:t xml:space="preserve">-3 </w:t>
      </w:r>
      <w:r>
        <w:t xml:space="preserve">(IFS) with the smallest absolute value equal to </w:t>
      </w:r>
      <w:r>
        <w:rPr>
          <w:rFonts w:hint="eastAsia"/>
          <w:lang w:eastAsia="zh-CN"/>
        </w:rPr>
        <w:t>-</w:t>
      </w:r>
      <w:r>
        <w:t xml:space="preserve">2.0 </w:t>
      </w:r>
      <w:r>
        <w:rPr>
          <w:rFonts w:ascii="Calibri" w:hAnsi="Calibri"/>
        </w:rPr>
        <w:t>μ</w:t>
      </w:r>
      <w:r>
        <w:t>g m</w:t>
      </w:r>
      <w:r>
        <w:rPr>
          <w:vertAlign w:val="superscript"/>
        </w:rPr>
        <w:t>-3</w:t>
      </w:r>
      <w:r>
        <w:t xml:space="preserve"> (CHIMERE). In general, during the period chosen for the inter-comparison, the models underestimate the ozone and NO</w:t>
      </w:r>
      <w:r>
        <w:rPr>
          <w:vertAlign w:val="subscript"/>
        </w:rPr>
        <w:t>2</w:t>
      </w:r>
      <w:r>
        <w:t xml:space="preserve"> concentrations and overestimate the concentration of PM2.5. The table also shows that the RMSE for the median values for ozone, NO</w:t>
      </w:r>
      <w:r>
        <w:rPr>
          <w:vertAlign w:val="subscript"/>
        </w:rPr>
        <w:t>2</w:t>
      </w:r>
      <w:r>
        <w:t xml:space="preserve"> and PM2.5 are 32.8, 21.8 and 30.2 </w:t>
      </w:r>
      <w:r>
        <w:rPr>
          <w:rFonts w:ascii="Calibri" w:hAnsi="Calibri"/>
        </w:rPr>
        <w:t>μ</w:t>
      </w:r>
      <w:r>
        <w:t>g m</w:t>
      </w:r>
      <w:r>
        <w:rPr>
          <w:vertAlign w:val="superscript"/>
        </w:rPr>
        <w:t>-3</w:t>
      </w:r>
      <w:r>
        <w:t xml:space="preserve">, respectively. With some exception (CHIMERE and IFS for ozone, LOTOS-EUROS for PM2.5), these values are lower than the RMSE derived </w:t>
      </w:r>
      <w:r>
        <w:lastRenderedPageBreak/>
        <w:t xml:space="preserve">by individual models. The highest values for RMSE are 44.7 </w:t>
      </w:r>
      <w:r>
        <w:rPr>
          <w:rFonts w:ascii="Calibri" w:hAnsi="Calibri"/>
        </w:rPr>
        <w:t>μ</w:t>
      </w:r>
      <w:r>
        <w:t>g m</w:t>
      </w:r>
      <w:r>
        <w:rPr>
          <w:vertAlign w:val="superscript"/>
        </w:rPr>
        <w:t>-</w:t>
      </w:r>
      <w:proofErr w:type="gramStart"/>
      <w:r>
        <w:rPr>
          <w:vertAlign w:val="superscript"/>
        </w:rPr>
        <w:t xml:space="preserve">3 </w:t>
      </w:r>
      <w:r>
        <w:t xml:space="preserve"> (</w:t>
      </w:r>
      <w:proofErr w:type="gramEnd"/>
      <w:r>
        <w:t>WRF-Chem-MPIM) in the case of ozone, 34.4 (LOTOS EUROS) in the case o</w:t>
      </w:r>
      <w:r>
        <w:rPr>
          <w:rFonts w:hint="eastAsia"/>
          <w:lang w:eastAsia="zh-CN"/>
        </w:rPr>
        <w:t>f</w:t>
      </w:r>
      <w:r>
        <w:t xml:space="preserve"> NO</w:t>
      </w:r>
      <w:r>
        <w:rPr>
          <w:vertAlign w:val="subscript"/>
        </w:rPr>
        <w:t>2</w:t>
      </w:r>
      <w:r>
        <w:t xml:space="preserve">, and 71.3 (IFS) in the case of PM2.5. The smallest RMSE are equal to 27.0 </w:t>
      </w:r>
      <w:r>
        <w:rPr>
          <w:rFonts w:ascii="Calibri" w:hAnsi="Calibri"/>
        </w:rPr>
        <w:t>μ</w:t>
      </w:r>
      <w:r>
        <w:t>g m</w:t>
      </w:r>
      <w:r>
        <w:rPr>
          <w:vertAlign w:val="superscript"/>
        </w:rPr>
        <w:t xml:space="preserve">-3 </w:t>
      </w:r>
      <w:r>
        <w:t xml:space="preserve">(CHIMERE) in the case of ozone, 23.1 </w:t>
      </w:r>
      <w:r>
        <w:rPr>
          <w:rFonts w:ascii="Calibri" w:hAnsi="Calibri"/>
        </w:rPr>
        <w:t>μ</w:t>
      </w:r>
      <w:r>
        <w:t>g m</w:t>
      </w:r>
      <w:r>
        <w:rPr>
          <w:vertAlign w:val="superscript"/>
        </w:rPr>
        <w:t xml:space="preserve">-3 </w:t>
      </w:r>
      <w:r>
        <w:t>(IFS) in the case of NO</w:t>
      </w:r>
      <w:r>
        <w:rPr>
          <w:vertAlign w:val="subscript"/>
        </w:rPr>
        <w:t>2</w:t>
      </w:r>
      <w:r>
        <w:t xml:space="preserve"> and 27.3 </w:t>
      </w:r>
      <w:r>
        <w:rPr>
          <w:rFonts w:ascii="Calibri" w:hAnsi="Calibri"/>
        </w:rPr>
        <w:t>μ</w:t>
      </w:r>
      <w:r>
        <w:t>g m</w:t>
      </w:r>
      <w:r>
        <w:rPr>
          <w:vertAlign w:val="superscript"/>
        </w:rPr>
        <w:t xml:space="preserve">-3 </w:t>
      </w:r>
      <w:r>
        <w:t>in the case of PM2.5 (LOTOS-EUROS). The correlation coefficient for the ensemble median is of the order of 0.6 for the three species, which in most cases is higher than the values derived from individual model forecasts. There are few exceptions, however.  The correlation coefficients are higher in the forecast of ozone by CHIMERE (0.70) and IFS (0.72), in the case of NO</w:t>
      </w:r>
      <w:r>
        <w:rPr>
          <w:vertAlign w:val="subscript"/>
        </w:rPr>
        <w:t>2</w:t>
      </w:r>
      <w:r>
        <w:t xml:space="preserve"> by IFS (0.65) and in the case of PM2.5 by SILAM (0.66) and LOTOS-EUROS (0.64). Table </w:t>
      </w:r>
      <w:r>
        <w:rPr>
          <w:rFonts w:hint="eastAsia"/>
          <w:lang w:eastAsia="zh-CN"/>
        </w:rPr>
        <w:t xml:space="preserve">5 </w:t>
      </w:r>
      <w:r>
        <w:t>summarizes the models that have achieved the best performance from the point of view of the mean bias, the RMSE and the correlation coefficient</w:t>
      </w:r>
      <w:r>
        <w:rPr>
          <w:rFonts w:hint="eastAsia"/>
          <w:lang w:eastAsia="zh-CN"/>
        </w:rPr>
        <w:t>.</w:t>
      </w:r>
    </w:p>
    <w:p w:rsidR="00F6191F" w:rsidRDefault="00F6191F">
      <w:pPr>
        <w:jc w:val="both"/>
      </w:pPr>
    </w:p>
    <w:p w:rsidR="0062538A" w:rsidRDefault="0062538A">
      <w:pPr>
        <w:jc w:val="both"/>
      </w:pPr>
    </w:p>
    <w:p w:rsidR="00F6191F" w:rsidRDefault="00E5706D">
      <w:pPr>
        <w:ind w:firstLine="720"/>
        <w:jc w:val="both"/>
      </w:pPr>
      <w:r>
        <w:rPr>
          <w:b/>
        </w:rPr>
        <w:t>Table 5.</w:t>
      </w:r>
      <w:r>
        <w:t xml:space="preserve"> </w:t>
      </w:r>
      <w:r>
        <w:rPr>
          <w:b/>
        </w:rPr>
        <w:t>Best Model Performance</w:t>
      </w:r>
    </w:p>
    <w:tbl>
      <w:tblPr>
        <w:tblStyle w:val="MediumShading2-Accent1"/>
        <w:tblW w:w="9002" w:type="dxa"/>
        <w:tblInd w:w="108" w:type="dxa"/>
        <w:tblLayout w:type="fixed"/>
        <w:tblLook w:val="04A0" w:firstRow="1" w:lastRow="0" w:firstColumn="1" w:lastColumn="0" w:noHBand="0" w:noVBand="1"/>
      </w:tblPr>
      <w:tblGrid>
        <w:gridCol w:w="2274"/>
        <w:gridCol w:w="2274"/>
        <w:gridCol w:w="2274"/>
        <w:gridCol w:w="2180"/>
      </w:tblGrid>
      <w:tr w:rsidR="00F6191F" w:rsidTr="00F6191F">
        <w:trPr>
          <w:cnfStyle w:val="100000000000" w:firstRow="1" w:lastRow="0" w:firstColumn="0" w:lastColumn="0" w:oddVBand="0" w:evenVBand="0" w:oddHBand="0" w:evenHBand="0" w:firstRowFirstColumn="0" w:firstRowLastColumn="0" w:lastRowFirstColumn="0" w:lastRowLastColumn="0"/>
          <w:trHeight w:val="742"/>
        </w:trPr>
        <w:tc>
          <w:tcPr>
            <w:cnfStyle w:val="001000000100" w:firstRow="0" w:lastRow="0" w:firstColumn="1" w:lastColumn="0" w:oddVBand="0" w:evenVBand="0" w:oddHBand="0" w:evenHBand="0" w:firstRowFirstColumn="1" w:firstRowLastColumn="0" w:lastRowFirstColumn="0" w:lastRowLastColumn="0"/>
            <w:tcW w:w="2274" w:type="dxa"/>
          </w:tcPr>
          <w:p w:rsidR="00F6191F" w:rsidRDefault="00E5706D">
            <w:pPr>
              <w:ind w:right="-648"/>
              <w:jc w:val="center"/>
              <w:rPr>
                <w:b w:val="0"/>
                <w:bCs w:val="0"/>
                <w:sz w:val="32"/>
                <w:szCs w:val="32"/>
                <w:vertAlign w:val="subscript"/>
              </w:rPr>
            </w:pPr>
            <w:r>
              <w:rPr>
                <w:sz w:val="32"/>
                <w:szCs w:val="32"/>
                <w:vertAlign w:val="subscript"/>
              </w:rPr>
              <w:t>Statistical</w:t>
            </w:r>
          </w:p>
          <w:p w:rsidR="00F6191F" w:rsidRDefault="00E5706D">
            <w:pPr>
              <w:ind w:right="-648"/>
              <w:jc w:val="center"/>
              <w:rPr>
                <w:b w:val="0"/>
                <w:bCs w:val="0"/>
                <w:sz w:val="32"/>
                <w:szCs w:val="32"/>
                <w:vertAlign w:val="subscript"/>
              </w:rPr>
            </w:pPr>
            <w:r>
              <w:rPr>
                <w:sz w:val="32"/>
                <w:szCs w:val="32"/>
                <w:vertAlign w:val="subscript"/>
              </w:rPr>
              <w:t>Variable</w:t>
            </w:r>
          </w:p>
        </w:tc>
        <w:tc>
          <w:tcPr>
            <w:tcW w:w="2274" w:type="dxa"/>
          </w:tcPr>
          <w:p w:rsidR="00F6191F" w:rsidRDefault="00E5706D">
            <w:pPr>
              <w:jc w:val="center"/>
              <w:cnfStyle w:val="100000000000" w:firstRow="1" w:lastRow="0" w:firstColumn="0" w:lastColumn="0" w:oddVBand="0" w:evenVBand="0" w:oddHBand="0" w:evenHBand="0" w:firstRowFirstColumn="0" w:firstRowLastColumn="0" w:lastRowFirstColumn="0" w:lastRowLastColumn="0"/>
              <w:rPr>
                <w:b w:val="0"/>
                <w:bCs w:val="0"/>
                <w:sz w:val="32"/>
                <w:szCs w:val="32"/>
                <w:vertAlign w:val="subscript"/>
              </w:rPr>
            </w:pPr>
            <w:r>
              <w:rPr>
                <w:sz w:val="32"/>
                <w:szCs w:val="32"/>
                <w:vertAlign w:val="subscript"/>
              </w:rPr>
              <w:t xml:space="preserve">Best performance </w:t>
            </w:r>
          </w:p>
          <w:p w:rsidR="00F6191F" w:rsidRDefault="00E5706D">
            <w:pPr>
              <w:jc w:val="center"/>
              <w:cnfStyle w:val="100000000000" w:firstRow="1" w:lastRow="0" w:firstColumn="0" w:lastColumn="0" w:oddVBand="0" w:evenVBand="0" w:oddHBand="0" w:evenHBand="0" w:firstRowFirstColumn="0" w:firstRowLastColumn="0" w:lastRowFirstColumn="0" w:lastRowLastColumn="0"/>
              <w:rPr>
                <w:b w:val="0"/>
                <w:bCs w:val="0"/>
                <w:sz w:val="32"/>
                <w:szCs w:val="32"/>
                <w:vertAlign w:val="subscript"/>
                <w:lang w:eastAsia="zh-CN"/>
              </w:rPr>
            </w:pPr>
            <w:r>
              <w:rPr>
                <w:sz w:val="32"/>
                <w:szCs w:val="32"/>
                <w:vertAlign w:val="subscript"/>
              </w:rPr>
              <w:t>ozone</w:t>
            </w:r>
          </w:p>
        </w:tc>
        <w:tc>
          <w:tcPr>
            <w:tcW w:w="2274" w:type="dxa"/>
          </w:tcPr>
          <w:p w:rsidR="00F6191F" w:rsidRDefault="00E5706D">
            <w:pPr>
              <w:jc w:val="center"/>
              <w:cnfStyle w:val="100000000000" w:firstRow="1" w:lastRow="0" w:firstColumn="0" w:lastColumn="0" w:oddVBand="0" w:evenVBand="0" w:oddHBand="0" w:evenHBand="0" w:firstRowFirstColumn="0" w:firstRowLastColumn="0" w:lastRowFirstColumn="0" w:lastRowLastColumn="0"/>
              <w:rPr>
                <w:b w:val="0"/>
                <w:bCs w:val="0"/>
                <w:sz w:val="32"/>
                <w:szCs w:val="32"/>
                <w:vertAlign w:val="subscript"/>
              </w:rPr>
            </w:pPr>
            <w:r>
              <w:rPr>
                <w:sz w:val="32"/>
                <w:szCs w:val="32"/>
                <w:vertAlign w:val="subscript"/>
              </w:rPr>
              <w:t xml:space="preserve">Best performance </w:t>
            </w:r>
          </w:p>
          <w:p w:rsidR="00F6191F" w:rsidRDefault="00E5706D">
            <w:pPr>
              <w:jc w:val="center"/>
              <w:cnfStyle w:val="100000000000" w:firstRow="1" w:lastRow="0" w:firstColumn="0" w:lastColumn="0" w:oddVBand="0" w:evenVBand="0" w:oddHBand="0" w:evenHBand="0" w:firstRowFirstColumn="0" w:firstRowLastColumn="0" w:lastRowFirstColumn="0" w:lastRowLastColumn="0"/>
              <w:rPr>
                <w:b w:val="0"/>
                <w:bCs w:val="0"/>
                <w:sz w:val="32"/>
                <w:szCs w:val="32"/>
                <w:vertAlign w:val="subscript"/>
              </w:rPr>
            </w:pPr>
            <w:r>
              <w:rPr>
                <w:sz w:val="32"/>
                <w:szCs w:val="32"/>
                <w:vertAlign w:val="subscript"/>
              </w:rPr>
              <w:t>NO2</w:t>
            </w:r>
          </w:p>
        </w:tc>
        <w:tc>
          <w:tcPr>
            <w:tcW w:w="2180" w:type="dxa"/>
          </w:tcPr>
          <w:p w:rsidR="00F6191F" w:rsidRDefault="00E5706D">
            <w:pPr>
              <w:jc w:val="center"/>
              <w:cnfStyle w:val="100000000000" w:firstRow="1" w:lastRow="0" w:firstColumn="0" w:lastColumn="0" w:oddVBand="0" w:evenVBand="0" w:oddHBand="0" w:evenHBand="0" w:firstRowFirstColumn="0" w:firstRowLastColumn="0" w:lastRowFirstColumn="0" w:lastRowLastColumn="0"/>
              <w:rPr>
                <w:b w:val="0"/>
                <w:bCs w:val="0"/>
                <w:sz w:val="32"/>
                <w:szCs w:val="32"/>
                <w:vertAlign w:val="subscript"/>
              </w:rPr>
            </w:pPr>
            <w:r>
              <w:rPr>
                <w:sz w:val="32"/>
                <w:szCs w:val="32"/>
                <w:vertAlign w:val="subscript"/>
              </w:rPr>
              <w:t>Best performance PM2.5</w:t>
            </w:r>
          </w:p>
        </w:tc>
      </w:tr>
      <w:tr w:rsidR="00F6191F" w:rsidTr="00F6191F">
        <w:trPr>
          <w:trHeight w:val="379"/>
        </w:trPr>
        <w:tc>
          <w:tcPr>
            <w:cnfStyle w:val="001000000000" w:firstRow="0" w:lastRow="0" w:firstColumn="1" w:lastColumn="0" w:oddVBand="0" w:evenVBand="0" w:oddHBand="0" w:evenHBand="0" w:firstRowFirstColumn="0" w:firstRowLastColumn="0" w:lastRowFirstColumn="0" w:lastRowLastColumn="0"/>
            <w:tcW w:w="2274" w:type="dxa"/>
          </w:tcPr>
          <w:p w:rsidR="00F6191F" w:rsidRDefault="00E5706D">
            <w:pPr>
              <w:jc w:val="center"/>
              <w:rPr>
                <w:b w:val="0"/>
                <w:bCs w:val="0"/>
                <w:sz w:val="32"/>
                <w:szCs w:val="32"/>
                <w:vertAlign w:val="subscript"/>
              </w:rPr>
            </w:pPr>
            <w:r>
              <w:rPr>
                <w:sz w:val="32"/>
                <w:szCs w:val="32"/>
                <w:vertAlign w:val="subscript"/>
              </w:rPr>
              <w:t>Mean Bias</w:t>
            </w:r>
          </w:p>
        </w:tc>
        <w:tc>
          <w:tcPr>
            <w:tcW w:w="2274" w:type="dxa"/>
            <w:shd w:val="clear" w:color="auto" w:fill="D8D8D8" w:themeFill="background1" w:themeFillShade="D8"/>
          </w:tcPr>
          <w:p w:rsidR="00F6191F" w:rsidRDefault="00E5706D">
            <w:pPr>
              <w:jc w:val="center"/>
              <w:cnfStyle w:val="000000000000" w:firstRow="0" w:lastRow="0" w:firstColumn="0" w:lastColumn="0" w:oddVBand="0" w:evenVBand="0" w:oddHBand="0" w:evenHBand="0" w:firstRowFirstColumn="0" w:firstRowLastColumn="0" w:lastRowFirstColumn="0" w:lastRowLastColumn="0"/>
              <w:rPr>
                <w:sz w:val="32"/>
                <w:szCs w:val="32"/>
                <w:vertAlign w:val="subscript"/>
              </w:rPr>
            </w:pPr>
            <w:r>
              <w:rPr>
                <w:sz w:val="32"/>
                <w:szCs w:val="32"/>
                <w:vertAlign w:val="subscript"/>
              </w:rPr>
              <w:t>LOTOS-EUROS</w:t>
            </w:r>
          </w:p>
        </w:tc>
        <w:tc>
          <w:tcPr>
            <w:tcW w:w="2274" w:type="dxa"/>
            <w:shd w:val="clear" w:color="auto" w:fill="D8D8D8" w:themeFill="background1" w:themeFillShade="D8"/>
          </w:tcPr>
          <w:p w:rsidR="00F6191F" w:rsidRDefault="00E5706D">
            <w:pPr>
              <w:jc w:val="center"/>
              <w:cnfStyle w:val="000000000000" w:firstRow="0" w:lastRow="0" w:firstColumn="0" w:lastColumn="0" w:oddVBand="0" w:evenVBand="0" w:oddHBand="0" w:evenHBand="0" w:firstRowFirstColumn="0" w:firstRowLastColumn="0" w:lastRowFirstColumn="0" w:lastRowLastColumn="0"/>
              <w:rPr>
                <w:sz w:val="32"/>
                <w:szCs w:val="32"/>
                <w:vertAlign w:val="subscript"/>
              </w:rPr>
            </w:pPr>
            <w:r>
              <w:rPr>
                <w:sz w:val="32"/>
                <w:szCs w:val="32"/>
                <w:vertAlign w:val="subscript"/>
              </w:rPr>
              <w:t>IFS</w:t>
            </w:r>
          </w:p>
        </w:tc>
        <w:tc>
          <w:tcPr>
            <w:tcW w:w="2180" w:type="dxa"/>
            <w:shd w:val="clear" w:color="auto" w:fill="D8D8D8" w:themeFill="background1" w:themeFillShade="D8"/>
          </w:tcPr>
          <w:p w:rsidR="00F6191F" w:rsidRDefault="00E5706D">
            <w:pPr>
              <w:jc w:val="center"/>
              <w:cnfStyle w:val="000000000000" w:firstRow="0" w:lastRow="0" w:firstColumn="0" w:lastColumn="0" w:oddVBand="0" w:evenVBand="0" w:oddHBand="0" w:evenHBand="0" w:firstRowFirstColumn="0" w:firstRowLastColumn="0" w:lastRowFirstColumn="0" w:lastRowLastColumn="0"/>
              <w:rPr>
                <w:sz w:val="32"/>
                <w:szCs w:val="32"/>
                <w:vertAlign w:val="subscript"/>
              </w:rPr>
            </w:pPr>
            <w:r>
              <w:rPr>
                <w:rFonts w:hint="eastAsia"/>
                <w:sz w:val="32"/>
                <w:szCs w:val="32"/>
                <w:vertAlign w:val="subscript"/>
                <w:lang w:eastAsia="zh-CN"/>
              </w:rPr>
              <w:t>CHIMERE</w:t>
            </w:r>
          </w:p>
        </w:tc>
      </w:tr>
      <w:tr w:rsidR="00F6191F" w:rsidTr="00F6191F">
        <w:trPr>
          <w:trHeight w:val="364"/>
        </w:trPr>
        <w:tc>
          <w:tcPr>
            <w:cnfStyle w:val="001000000000" w:firstRow="0" w:lastRow="0" w:firstColumn="1" w:lastColumn="0" w:oddVBand="0" w:evenVBand="0" w:oddHBand="0" w:evenHBand="0" w:firstRowFirstColumn="0" w:firstRowLastColumn="0" w:lastRowFirstColumn="0" w:lastRowLastColumn="0"/>
            <w:tcW w:w="2274" w:type="dxa"/>
          </w:tcPr>
          <w:p w:rsidR="00F6191F" w:rsidRDefault="00E5706D">
            <w:pPr>
              <w:jc w:val="center"/>
              <w:rPr>
                <w:b w:val="0"/>
                <w:bCs w:val="0"/>
                <w:sz w:val="32"/>
                <w:szCs w:val="32"/>
                <w:vertAlign w:val="subscript"/>
              </w:rPr>
            </w:pPr>
            <w:r>
              <w:rPr>
                <w:sz w:val="32"/>
                <w:szCs w:val="32"/>
                <w:vertAlign w:val="subscript"/>
              </w:rPr>
              <w:t>RMSE</w:t>
            </w:r>
          </w:p>
        </w:tc>
        <w:tc>
          <w:tcPr>
            <w:tcW w:w="2274" w:type="dxa"/>
          </w:tcPr>
          <w:p w:rsidR="00F6191F" w:rsidRDefault="00E5706D">
            <w:pPr>
              <w:jc w:val="center"/>
              <w:cnfStyle w:val="000000000000" w:firstRow="0" w:lastRow="0" w:firstColumn="0" w:lastColumn="0" w:oddVBand="0" w:evenVBand="0" w:oddHBand="0" w:evenHBand="0" w:firstRowFirstColumn="0" w:firstRowLastColumn="0" w:lastRowFirstColumn="0" w:lastRowLastColumn="0"/>
              <w:rPr>
                <w:sz w:val="32"/>
                <w:szCs w:val="32"/>
                <w:vertAlign w:val="subscript"/>
                <w:lang w:eastAsia="zh-CN"/>
              </w:rPr>
            </w:pPr>
            <w:r>
              <w:rPr>
                <w:sz w:val="32"/>
                <w:szCs w:val="32"/>
                <w:vertAlign w:val="subscript"/>
              </w:rPr>
              <w:t>C</w:t>
            </w:r>
            <w:r>
              <w:rPr>
                <w:rFonts w:hint="eastAsia"/>
                <w:sz w:val="32"/>
                <w:szCs w:val="32"/>
                <w:vertAlign w:val="subscript"/>
                <w:lang w:eastAsia="zh-CN"/>
              </w:rPr>
              <w:t>HIMERE</w:t>
            </w:r>
          </w:p>
        </w:tc>
        <w:tc>
          <w:tcPr>
            <w:tcW w:w="2274" w:type="dxa"/>
          </w:tcPr>
          <w:p w:rsidR="00F6191F" w:rsidRDefault="00E5706D">
            <w:pPr>
              <w:jc w:val="center"/>
              <w:cnfStyle w:val="000000000000" w:firstRow="0" w:lastRow="0" w:firstColumn="0" w:lastColumn="0" w:oddVBand="0" w:evenVBand="0" w:oddHBand="0" w:evenHBand="0" w:firstRowFirstColumn="0" w:firstRowLastColumn="0" w:lastRowFirstColumn="0" w:lastRowLastColumn="0"/>
              <w:rPr>
                <w:sz w:val="32"/>
                <w:szCs w:val="32"/>
                <w:vertAlign w:val="subscript"/>
              </w:rPr>
            </w:pPr>
            <w:r>
              <w:rPr>
                <w:sz w:val="32"/>
                <w:szCs w:val="32"/>
                <w:vertAlign w:val="subscript"/>
              </w:rPr>
              <w:t>IFS</w:t>
            </w:r>
          </w:p>
        </w:tc>
        <w:tc>
          <w:tcPr>
            <w:tcW w:w="2180" w:type="dxa"/>
          </w:tcPr>
          <w:p w:rsidR="00F6191F" w:rsidRDefault="00E5706D">
            <w:pPr>
              <w:jc w:val="center"/>
              <w:cnfStyle w:val="000000000000" w:firstRow="0" w:lastRow="0" w:firstColumn="0" w:lastColumn="0" w:oddVBand="0" w:evenVBand="0" w:oddHBand="0" w:evenHBand="0" w:firstRowFirstColumn="0" w:firstRowLastColumn="0" w:lastRowFirstColumn="0" w:lastRowLastColumn="0"/>
              <w:rPr>
                <w:sz w:val="32"/>
                <w:szCs w:val="32"/>
                <w:vertAlign w:val="subscript"/>
              </w:rPr>
            </w:pPr>
            <w:r>
              <w:rPr>
                <w:sz w:val="32"/>
                <w:szCs w:val="32"/>
                <w:vertAlign w:val="subscript"/>
              </w:rPr>
              <w:t>LOTOS-EUROS</w:t>
            </w:r>
          </w:p>
        </w:tc>
      </w:tr>
      <w:tr w:rsidR="00F6191F" w:rsidTr="00F6191F">
        <w:trPr>
          <w:trHeight w:val="379"/>
        </w:trPr>
        <w:tc>
          <w:tcPr>
            <w:cnfStyle w:val="001000000000" w:firstRow="0" w:lastRow="0" w:firstColumn="1" w:lastColumn="0" w:oddVBand="0" w:evenVBand="0" w:oddHBand="0" w:evenHBand="0" w:firstRowFirstColumn="0" w:firstRowLastColumn="0" w:lastRowFirstColumn="0" w:lastRowLastColumn="0"/>
            <w:tcW w:w="2274" w:type="dxa"/>
          </w:tcPr>
          <w:p w:rsidR="00F6191F" w:rsidRDefault="00E5706D">
            <w:pPr>
              <w:jc w:val="center"/>
              <w:rPr>
                <w:b w:val="0"/>
                <w:bCs w:val="0"/>
                <w:sz w:val="32"/>
                <w:szCs w:val="32"/>
                <w:vertAlign w:val="subscript"/>
              </w:rPr>
            </w:pPr>
            <w:r>
              <w:rPr>
                <w:sz w:val="32"/>
                <w:szCs w:val="32"/>
                <w:vertAlign w:val="subscript"/>
              </w:rPr>
              <w:t>Correlation coefficient</w:t>
            </w:r>
          </w:p>
        </w:tc>
        <w:tc>
          <w:tcPr>
            <w:tcW w:w="2274" w:type="dxa"/>
            <w:shd w:val="clear" w:color="auto" w:fill="D8D8D8" w:themeFill="background1" w:themeFillShade="D8"/>
          </w:tcPr>
          <w:p w:rsidR="00F6191F" w:rsidRDefault="00E5706D">
            <w:pPr>
              <w:jc w:val="center"/>
              <w:cnfStyle w:val="000000000000" w:firstRow="0" w:lastRow="0" w:firstColumn="0" w:lastColumn="0" w:oddVBand="0" w:evenVBand="0" w:oddHBand="0" w:evenHBand="0" w:firstRowFirstColumn="0" w:firstRowLastColumn="0" w:lastRowFirstColumn="0" w:lastRowLastColumn="0"/>
              <w:rPr>
                <w:sz w:val="32"/>
                <w:szCs w:val="32"/>
                <w:vertAlign w:val="subscript"/>
              </w:rPr>
            </w:pPr>
            <w:r>
              <w:rPr>
                <w:sz w:val="32"/>
                <w:szCs w:val="32"/>
                <w:vertAlign w:val="subscript"/>
              </w:rPr>
              <w:t>IFS</w:t>
            </w:r>
          </w:p>
        </w:tc>
        <w:tc>
          <w:tcPr>
            <w:tcW w:w="2274" w:type="dxa"/>
            <w:shd w:val="clear" w:color="auto" w:fill="D8D8D8" w:themeFill="background1" w:themeFillShade="D8"/>
          </w:tcPr>
          <w:p w:rsidR="00F6191F" w:rsidRDefault="00E5706D">
            <w:pPr>
              <w:jc w:val="center"/>
              <w:cnfStyle w:val="000000000000" w:firstRow="0" w:lastRow="0" w:firstColumn="0" w:lastColumn="0" w:oddVBand="0" w:evenVBand="0" w:oddHBand="0" w:evenHBand="0" w:firstRowFirstColumn="0" w:firstRowLastColumn="0" w:lastRowFirstColumn="0" w:lastRowLastColumn="0"/>
              <w:rPr>
                <w:sz w:val="32"/>
                <w:szCs w:val="32"/>
                <w:vertAlign w:val="subscript"/>
              </w:rPr>
            </w:pPr>
            <w:r>
              <w:rPr>
                <w:sz w:val="32"/>
                <w:szCs w:val="32"/>
                <w:vertAlign w:val="subscript"/>
              </w:rPr>
              <w:t>WRF-Chem MPIM</w:t>
            </w:r>
          </w:p>
        </w:tc>
        <w:tc>
          <w:tcPr>
            <w:tcW w:w="2180" w:type="dxa"/>
            <w:shd w:val="clear" w:color="auto" w:fill="D8D8D8" w:themeFill="background1" w:themeFillShade="D8"/>
          </w:tcPr>
          <w:p w:rsidR="00F6191F" w:rsidRDefault="00E5706D">
            <w:pPr>
              <w:jc w:val="center"/>
              <w:cnfStyle w:val="000000000000" w:firstRow="0" w:lastRow="0" w:firstColumn="0" w:lastColumn="0" w:oddVBand="0" w:evenVBand="0" w:oddHBand="0" w:evenHBand="0" w:firstRowFirstColumn="0" w:firstRowLastColumn="0" w:lastRowFirstColumn="0" w:lastRowLastColumn="0"/>
              <w:rPr>
                <w:sz w:val="32"/>
                <w:szCs w:val="32"/>
                <w:vertAlign w:val="subscript"/>
              </w:rPr>
            </w:pPr>
            <w:r>
              <w:rPr>
                <w:sz w:val="32"/>
                <w:szCs w:val="32"/>
                <w:vertAlign w:val="subscript"/>
              </w:rPr>
              <w:t>SILAM</w:t>
            </w:r>
          </w:p>
        </w:tc>
      </w:tr>
    </w:tbl>
    <w:p w:rsidR="00F6191F" w:rsidRDefault="00F6191F">
      <w:pPr>
        <w:jc w:val="both"/>
        <w:rPr>
          <w:b/>
          <w:i/>
        </w:rPr>
      </w:pPr>
    </w:p>
    <w:p w:rsidR="00F6191F" w:rsidRDefault="00F6191F">
      <w:pPr>
        <w:jc w:val="both"/>
        <w:rPr>
          <w:b/>
          <w:i/>
        </w:rPr>
      </w:pPr>
    </w:p>
    <w:p w:rsidR="00F6191F" w:rsidRDefault="00E5706D">
      <w:pPr>
        <w:ind w:firstLine="720"/>
        <w:rPr>
          <w:b/>
          <w:i/>
        </w:rPr>
      </w:pPr>
      <w:r>
        <w:rPr>
          <w:b/>
          <w:i/>
        </w:rPr>
        <w:t>5.4.  Time Evolution of Individual Forecasts</w:t>
      </w:r>
    </w:p>
    <w:p w:rsidR="00F6191F" w:rsidRDefault="00F6191F">
      <w:pPr>
        <w:rPr>
          <w:b/>
          <w:i/>
        </w:rPr>
      </w:pPr>
    </w:p>
    <w:p w:rsidR="00F6191F" w:rsidRDefault="00E5706D">
      <w:pPr>
        <w:jc w:val="both"/>
      </w:pPr>
      <w:r>
        <w:t>The time evolution of predicted concentration values at Beijing by 5 different models involved in the inter-comparison is provided in Figure 9 for the period of 1-15 March 2017.  An examination of the figure shows that, during most days, the daytime height of the PBL reaches 2500 – 3000 m with an exception on 2</w:t>
      </w:r>
      <w:r>
        <w:rPr>
          <w:rFonts w:hint="eastAsia"/>
          <w:lang w:eastAsia="zh-CN"/>
        </w:rPr>
        <w:t xml:space="preserve"> to </w:t>
      </w:r>
      <w:r>
        <w:t>5 March, when the height does not exceed 1000 m. Interestingly, during this period, the observed concentration of particulates, of NO</w:t>
      </w:r>
      <w:r>
        <w:rPr>
          <w:vertAlign w:val="subscript"/>
        </w:rPr>
        <w:t>2</w:t>
      </w:r>
      <w:r>
        <w:t xml:space="preserve"> and of SO</w:t>
      </w:r>
      <w:r>
        <w:rPr>
          <w:vertAlign w:val="subscript"/>
        </w:rPr>
        <w:t>2</w:t>
      </w:r>
      <w:r>
        <w:t>, strongly influenced by surface emissions, are significantly higher than during the following days. During the same days, the night-time concentration of ozone is relatively low. On March 1</w:t>
      </w:r>
      <w:r>
        <w:rPr>
          <w:rFonts w:hint="eastAsia"/>
          <w:lang w:eastAsia="zh-CN"/>
        </w:rPr>
        <w:t>0</w:t>
      </w:r>
      <w:r>
        <w:t>, one also observes high surface concentrations of emitted species and low concentration of night-time ozone, even though the calculated PBL height is not particularly low. One should mention here that, in several models (i.e., EMEP, LOTOS-EUROS), the information on the PBL is deduced from the IFS forecast, while in other models (such as WRF-Chem-MPIM and WRF-Chem-SMS) the PBL height is derived independently. In the case of WRF-Chem-MPI, however, the calculation of the PBL height makes use of meteorological data provided by the IFS model.</w:t>
      </w:r>
    </w:p>
    <w:p w:rsidR="00F6191F" w:rsidRDefault="00F6191F">
      <w:pPr>
        <w:jc w:val="both"/>
      </w:pPr>
    </w:p>
    <w:p w:rsidR="00F6191F" w:rsidRDefault="00E5706D">
      <w:pPr>
        <w:jc w:val="both"/>
      </w:pPr>
      <w:r>
        <w:t xml:space="preserve">In most cases, the models capture relatively well the day-to-day variability in the species concentrations. The agreement with observations is generally good in the case of PM2.5 and PM10, except in the case of the IFS model, which considerably overestimates the concentrations, mainly because of a regional overestimation of the OM emissions and a lack of a diurnal variation in the emission. The anthropogenic OM emissions in IFS are parameterised based on anthropogenic CO emissions following Spracklen et al. (2017). The relatively high CO emission in this region may require a reduced conversion factor between </w:t>
      </w:r>
      <w:r>
        <w:lastRenderedPageBreak/>
        <w:t>OM and CO emissions. The main contribution to PM overestimation of IFS came from the night-time values (see next Section). Since night-time overestimation also occurs for NO</w:t>
      </w:r>
      <w:r>
        <w:rPr>
          <w:vertAlign w:val="subscript"/>
        </w:rPr>
        <w:t>2</w:t>
      </w:r>
      <w:r>
        <w:t xml:space="preserve">, a lack of vertical mixing during the night in IFS could cause the night time overestimation of the surface values. As already noted, the models tend to underestimate the ozone concentrations, perhaps due to a slight overestimation of the nitrogen oxide concentrations. Another possible explanation is an underestimation of the VOC sources. Routine measurements of VOCs, however, are not available. The need for such measurements, however, needs to be stressed. </w:t>
      </w:r>
    </w:p>
    <w:p w:rsidR="00F6191F" w:rsidRDefault="00F6191F">
      <w:pPr>
        <w:jc w:val="both"/>
      </w:pPr>
    </w:p>
    <w:p w:rsidR="00F6191F" w:rsidRDefault="00E5706D">
      <w:pPr>
        <w:jc w:val="both"/>
      </w:pPr>
      <w:r>
        <w:t>The model comparison reported here also shows differences between models in the case o</w:t>
      </w:r>
      <w:r>
        <w:rPr>
          <w:rFonts w:hint="eastAsia"/>
          <w:lang w:eastAsia="zh-CN"/>
        </w:rPr>
        <w:t>f</w:t>
      </w:r>
      <w:r>
        <w:t xml:space="preserve"> NO, which should probably be attributed to differences in the emissions and emission injection heights of this species and in the formulation of vertical mixing in the boundary layer. Here again, measurements of NO in addition to those of NO</w:t>
      </w:r>
      <w:r>
        <w:rPr>
          <w:vertAlign w:val="subscript"/>
        </w:rPr>
        <w:t>2</w:t>
      </w:r>
      <w:r>
        <w:t xml:space="preserve"> and ozone would be useful. Finally, one notes in Figure 9</w:t>
      </w:r>
      <w:r>
        <w:rPr>
          <w:rFonts w:hint="eastAsia"/>
          <w:lang w:eastAsia="zh-CN"/>
        </w:rPr>
        <w:t xml:space="preserve"> </w:t>
      </w:r>
      <w:r>
        <w:t>the relatively good agreement between models (with the exception of the IFS and the WRF-Chem-SMS model) regarding the time evolution of odd oxygen (Ox = O</w:t>
      </w:r>
      <w:r>
        <w:rPr>
          <w:vertAlign w:val="subscript"/>
        </w:rPr>
        <w:t>3</w:t>
      </w:r>
      <w:r>
        <w:t xml:space="preserve"> + NO</w:t>
      </w:r>
      <w:r>
        <w:rPr>
          <w:vertAlign w:val="subscript"/>
        </w:rPr>
        <w:t>2</w:t>
      </w:r>
      <w:r>
        <w:t>). The models, however, slightly underestimate the absolute values of the Ox concentration.</w:t>
      </w:r>
    </w:p>
    <w:p w:rsidR="0062538A" w:rsidRDefault="0062538A">
      <w:pPr>
        <w:jc w:val="both"/>
      </w:pPr>
    </w:p>
    <w:p w:rsidR="00F6191F" w:rsidRDefault="00F6191F">
      <w:pPr>
        <w:rPr>
          <w:b/>
          <w:i/>
        </w:rPr>
      </w:pPr>
    </w:p>
    <w:p w:rsidR="00F6191F" w:rsidRDefault="00E5706D">
      <w:pPr>
        <w:widowControl w:val="0"/>
        <w:autoSpaceDE w:val="0"/>
        <w:autoSpaceDN w:val="0"/>
        <w:adjustRightInd w:val="0"/>
        <w:rPr>
          <w:rFonts w:ascii="Didot" w:hAnsi="Didot" w:cs="Didot"/>
          <w:sz w:val="36"/>
          <w:szCs w:val="36"/>
          <w:lang w:val="en-US"/>
        </w:rPr>
      </w:pPr>
      <w:r>
        <w:rPr>
          <w:rFonts w:ascii="Didot" w:hAnsi="Didot" w:cs="Didot"/>
          <w:noProof/>
          <w:sz w:val="36"/>
          <w:szCs w:val="36"/>
          <w:lang w:val="en-US" w:eastAsia="zh-CN"/>
        </w:rPr>
        <w:drawing>
          <wp:inline distT="0" distB="0" distL="0" distR="0">
            <wp:extent cx="5799349" cy="3790950"/>
            <wp:effectExtent l="0" t="0" r="508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r:embed="rId64">
                      <a:extLst>
                        <a:ext uri="{28A0092B-C50C-407E-A947-70E740481C1C}">
                          <a14:useLocalDpi xmlns:a14="http://schemas.microsoft.com/office/drawing/2010/main" val="0"/>
                        </a:ext>
                      </a:extLst>
                    </a:blip>
                    <a:srcRect l="8726" t="2802" r="7657" b="6130"/>
                    <a:stretch>
                      <a:fillRect/>
                    </a:stretch>
                  </pic:blipFill>
                  <pic:spPr>
                    <a:xfrm>
                      <a:off x="0" y="0"/>
                      <a:ext cx="5819757" cy="3804290"/>
                    </a:xfrm>
                    <a:prstGeom prst="rect">
                      <a:avLst/>
                    </a:prstGeom>
                    <a:noFill/>
                    <a:ln>
                      <a:noFill/>
                    </a:ln>
                  </pic:spPr>
                </pic:pic>
              </a:graphicData>
            </a:graphic>
          </wp:inline>
        </w:drawing>
      </w:r>
    </w:p>
    <w:p w:rsidR="00F6191F" w:rsidRDefault="00F6191F">
      <w:pPr>
        <w:jc w:val="both"/>
        <w:rPr>
          <w:b/>
          <w:sz w:val="22"/>
          <w:szCs w:val="22"/>
        </w:rPr>
      </w:pPr>
    </w:p>
    <w:p w:rsidR="00F6191F" w:rsidRDefault="00E5706D">
      <w:pPr>
        <w:jc w:val="both"/>
        <w:rPr>
          <w:sz w:val="22"/>
          <w:szCs w:val="22"/>
        </w:rPr>
      </w:pPr>
      <w:r>
        <w:rPr>
          <w:b/>
          <w:sz w:val="22"/>
          <w:szCs w:val="22"/>
        </w:rPr>
        <w:t>Figure 9.</w:t>
      </w:r>
      <w:r>
        <w:rPr>
          <w:sz w:val="22"/>
          <w:szCs w:val="22"/>
        </w:rPr>
        <w:t xml:space="preserve"> Forecast of the chemical concentrations of ozone, NO</w:t>
      </w:r>
      <w:r>
        <w:rPr>
          <w:sz w:val="22"/>
          <w:szCs w:val="22"/>
          <w:vertAlign w:val="subscript"/>
        </w:rPr>
        <w:t>2</w:t>
      </w:r>
      <w:r>
        <w:rPr>
          <w:sz w:val="22"/>
          <w:szCs w:val="22"/>
        </w:rPr>
        <w:t>, PM2.5, and PM10 at Beijing between 1 and 15 March 2017 by the different models involved in the inter-comparison conducted in the present study. The calculated values of O</w:t>
      </w:r>
      <w:r>
        <w:rPr>
          <w:sz w:val="22"/>
          <w:szCs w:val="22"/>
          <w:vertAlign w:val="subscript"/>
          <w:lang w:eastAsia="zh-CN"/>
        </w:rPr>
        <w:t>X</w:t>
      </w:r>
      <w:r>
        <w:rPr>
          <w:sz w:val="22"/>
          <w:szCs w:val="22"/>
        </w:rPr>
        <w:t xml:space="preserve"> = O</w:t>
      </w:r>
      <w:r>
        <w:rPr>
          <w:sz w:val="22"/>
          <w:szCs w:val="22"/>
          <w:vertAlign w:val="subscript"/>
        </w:rPr>
        <w:t>3</w:t>
      </w:r>
      <w:r>
        <w:rPr>
          <w:sz w:val="22"/>
          <w:szCs w:val="22"/>
        </w:rPr>
        <w:t xml:space="preserve"> + NO</w:t>
      </w:r>
      <w:r>
        <w:rPr>
          <w:sz w:val="22"/>
          <w:szCs w:val="22"/>
          <w:vertAlign w:val="subscript"/>
        </w:rPr>
        <w:t>2</w:t>
      </w:r>
      <w:r>
        <w:rPr>
          <w:sz w:val="22"/>
          <w:szCs w:val="22"/>
        </w:rPr>
        <w:t xml:space="preserve"> as well as the height of the planetary boundary layer (PBL) are also shown. The mean values from the measurements made at the different monitoring stations of Beijing are shown by the thick red line.</w:t>
      </w:r>
    </w:p>
    <w:p w:rsidR="00F6191F" w:rsidRDefault="00F6191F">
      <w:pPr>
        <w:rPr>
          <w:sz w:val="22"/>
          <w:szCs w:val="22"/>
        </w:rPr>
      </w:pPr>
    </w:p>
    <w:p w:rsidR="00F6191F" w:rsidRDefault="00F6191F"/>
    <w:p w:rsidR="00F6191F" w:rsidRDefault="00E5706D">
      <w:pPr>
        <w:ind w:firstLine="720"/>
        <w:rPr>
          <w:b/>
          <w:i/>
        </w:rPr>
      </w:pPr>
      <w:r>
        <w:rPr>
          <w:b/>
          <w:i/>
        </w:rPr>
        <w:lastRenderedPageBreak/>
        <w:t>5.5.  Diurnal Variations</w:t>
      </w:r>
    </w:p>
    <w:p w:rsidR="00F6191F" w:rsidRDefault="00F6191F">
      <w:pPr>
        <w:ind w:left="720"/>
        <w:rPr>
          <w:b/>
          <w:i/>
        </w:rPr>
      </w:pPr>
    </w:p>
    <w:p w:rsidR="00F6191F" w:rsidRDefault="00E5706D">
      <w:pPr>
        <w:jc w:val="both"/>
      </w:pPr>
      <w:r>
        <w:t>In order to evaluate the behaviour of the different models regarding their ability to reproduce the diurnal variation in the surface concentrations of ozone, NO</w:t>
      </w:r>
      <w:r>
        <w:rPr>
          <w:vertAlign w:val="subscript"/>
        </w:rPr>
        <w:t>2</w:t>
      </w:r>
      <w:r>
        <w:t xml:space="preserve"> and PM2.5, we have calculated the mean diurnal variations over the period of 1-15 March 2017 averaged for the 34 cities included in our analysis (3 of the 37 cities, located in the western part of the country, and adopted in the MarcoPolo-Panda prediction system have not been considered in this analysis). The resulting results are shown in Figure 10 for ozone and NO</w:t>
      </w:r>
      <w:r>
        <w:rPr>
          <w:vertAlign w:val="subscript"/>
        </w:rPr>
        <w:t>2</w:t>
      </w:r>
      <w:r>
        <w:t xml:space="preserve"> (expressed in μg m</w:t>
      </w:r>
      <w:r>
        <w:rPr>
          <w:vertAlign w:val="superscript"/>
        </w:rPr>
        <w:t>-3</w:t>
      </w:r>
      <w:r>
        <w:t>). We have added the corresponding diurnal evolution of Ox (expressed in ppbv) defined as the sum of the ozone and NO</w:t>
      </w:r>
      <w:r>
        <w:rPr>
          <w:vertAlign w:val="subscript"/>
        </w:rPr>
        <w:t>2</w:t>
      </w:r>
      <w:r>
        <w:t xml:space="preserve"> mixing ratios. This last chemical variable has the advantage that it is not affected by the fast interchange (null cycle) between ozone and NO</w:t>
      </w:r>
      <w:r>
        <w:rPr>
          <w:vertAlign w:val="subscript"/>
        </w:rPr>
        <w:t>2</w:t>
      </w:r>
      <w:r>
        <w:t xml:space="preserve"> by the reactions NO + O</w:t>
      </w:r>
      <w:r>
        <w:rPr>
          <w:vertAlign w:val="subscript"/>
        </w:rPr>
        <w:t>3</w:t>
      </w:r>
      <w:r>
        <w:t>, NO</w:t>
      </w:r>
      <w:r>
        <w:rPr>
          <w:vertAlign w:val="subscript"/>
        </w:rPr>
        <w:t>2</w:t>
      </w:r>
      <w:r>
        <w:t xml:space="preserve"> + hv and O + O</w:t>
      </w:r>
      <w:r>
        <w:rPr>
          <w:vertAlign w:val="subscript"/>
        </w:rPr>
        <w:t>2</w:t>
      </w:r>
      <w:r>
        <w:t xml:space="preserve"> +M. Since this cycle tends to transfer “odd oxygen” from ozone to NO</w:t>
      </w:r>
      <w:r>
        <w:rPr>
          <w:vertAlign w:val="subscript"/>
        </w:rPr>
        <w:t>2</w:t>
      </w:r>
      <w:r>
        <w:t xml:space="preserve"> after sunset and from NO</w:t>
      </w:r>
      <w:r>
        <w:rPr>
          <w:vertAlign w:val="subscript"/>
        </w:rPr>
        <w:t>2</w:t>
      </w:r>
      <w:r>
        <w:t xml:space="preserve"> to ozone after sunrise, the Ox variable is less variable than its two components NO</w:t>
      </w:r>
      <w:r>
        <w:rPr>
          <w:vertAlign w:val="subscript"/>
        </w:rPr>
        <w:t>2</w:t>
      </w:r>
      <w:r>
        <w:t xml:space="preserve"> and O</w:t>
      </w:r>
      <w:r>
        <w:rPr>
          <w:vertAlign w:val="subscript"/>
        </w:rPr>
        <w:t>3</w:t>
      </w:r>
      <w:r>
        <w:t xml:space="preserve"> over a diurnal cycle. Figure 10 shows that, when averaging over the 34 largest Chinese cities, the diurnal variation of the ensemble median is in good agreement with the observation in the case of NO</w:t>
      </w:r>
      <w:r>
        <w:rPr>
          <w:vertAlign w:val="subscript"/>
        </w:rPr>
        <w:t>2</w:t>
      </w:r>
      <w:r>
        <w:t>. In the case of ozone, the median values are somewhat underestimated in late morning and in the afternoon. A similar situation is found in the case of Ox. The RMSE for ozone and NO</w:t>
      </w:r>
      <w:r>
        <w:rPr>
          <w:vertAlign w:val="subscript"/>
        </w:rPr>
        <w:t>2</w:t>
      </w:r>
      <w:r>
        <w:t>, also shown on the figure, is generally lower in the case of the ensemble median than for the individual models. In the case of PM2.5, however, the RMSE of two models, CHIMERE and IFS are smaller than the RMSE of the ensemble median</w:t>
      </w:r>
      <w:r>
        <w:rPr>
          <w:rFonts w:hint="eastAsia"/>
          <w:lang w:eastAsia="zh-CN"/>
        </w:rPr>
        <w:t xml:space="preserve"> (not shown here)</w:t>
      </w:r>
      <w:r>
        <w:t>. The mean bias of the ensemble median for NO</w:t>
      </w:r>
      <w:r>
        <w:rPr>
          <w:vertAlign w:val="subscript"/>
        </w:rPr>
        <w:t>2</w:t>
      </w:r>
      <w:r>
        <w:t xml:space="preserve"> and ozone is generally smaller than that of the individual models. In the case of Ox, some models exhibit a positive bias (WRF-Chem SMS), while others (e.g. SILAM) are characterized by a negative bias.</w:t>
      </w:r>
    </w:p>
    <w:p w:rsidR="00F6191F" w:rsidRDefault="00F6191F">
      <w:pPr>
        <w:jc w:val="both"/>
      </w:pPr>
    </w:p>
    <w:p w:rsidR="00F6191F" w:rsidRDefault="00E5706D">
      <w:pPr>
        <w:jc w:val="both"/>
      </w:pPr>
      <w:r>
        <w:t xml:space="preserve">Figures 11. a, b, c </w:t>
      </w:r>
      <w:proofErr w:type="gramStart"/>
      <w:r>
        <w:t>show</w:t>
      </w:r>
      <w:proofErr w:type="gramEnd"/>
      <w:r>
        <w:t xml:space="preserve"> similar estimates of the diurnal variation in the three large cities of China: Beijing, Shanghai and Guangzhou.  These graphs show that the ozone forecast from the ensemble median is lower than observed values during the entire day both in Beijing and in Shanghai. In Guangzhou, however, ozone is slightly overestimated by the prediction. In the case of NO</w:t>
      </w:r>
      <w:r>
        <w:rPr>
          <w:vertAlign w:val="subscript"/>
        </w:rPr>
        <w:t>2</w:t>
      </w:r>
      <w:r>
        <w:t>, the surface concentrations are overestimated in Beijing and to a lesser extent in Shanghai, with the largest over-prediction occurring during night-time, when the planetary boundary layer is very thin and vertical mixing almost shut off. At the same time, ozone is negatively biased due to its efficient titration by NO</w:t>
      </w:r>
      <w:r>
        <w:rPr>
          <w:vertAlign w:val="subscript"/>
        </w:rPr>
        <w:t>x</w:t>
      </w:r>
      <w:r>
        <w:t>. In the three cities, the RMSE of NO</w:t>
      </w:r>
      <w:r>
        <w:rPr>
          <w:vertAlign w:val="subscript"/>
        </w:rPr>
        <w:t>2</w:t>
      </w:r>
      <w:r>
        <w:t>, ozone and Ox appear to be largest at sunset. Thus, a general issue with the MarcoPolo-Panda prediction system is the overestimation of surface NO</w:t>
      </w:r>
      <w:r>
        <w:rPr>
          <w:vertAlign w:val="subscript"/>
        </w:rPr>
        <w:t>2</w:t>
      </w:r>
      <w:r>
        <w:t xml:space="preserve"> and the underestimation of ozone concentrations during night-time. </w:t>
      </w:r>
    </w:p>
    <w:p w:rsidR="00F6191F" w:rsidRDefault="00F6191F">
      <w:pPr>
        <w:jc w:val="both"/>
      </w:pPr>
    </w:p>
    <w:p w:rsidR="00F6191F" w:rsidRDefault="00E5706D">
      <w:pPr>
        <w:jc w:val="both"/>
        <w:rPr>
          <w:lang w:eastAsia="zh-CN"/>
        </w:rPr>
      </w:pPr>
      <w:r>
        <w:t xml:space="preserve">In the case of PM2.5, one of the models involved (IFS) strongly overestimates the concentrations during night-time, but is in fair agreement with observations during daytime.  This issue may again reflect a problem with the formulation of species dispersion in the planetary boundary layer. It may also be due to </w:t>
      </w:r>
      <w:r>
        <w:rPr>
          <w:rFonts w:hint="eastAsia"/>
          <w:lang w:eastAsia="zh-CN"/>
        </w:rPr>
        <w:t xml:space="preserve">the lack of </w:t>
      </w:r>
      <w:r>
        <w:rPr>
          <w:lang w:eastAsia="zh-CN"/>
        </w:rPr>
        <w:t xml:space="preserve">specified </w:t>
      </w:r>
      <w:r>
        <w:rPr>
          <w:rFonts w:hint="eastAsia"/>
          <w:lang w:eastAsia="zh-CN"/>
        </w:rPr>
        <w:t xml:space="preserve">diurnal variation in </w:t>
      </w:r>
      <w:r>
        <w:rPr>
          <w:lang w:eastAsia="zh-CN"/>
        </w:rPr>
        <w:t xml:space="preserve">the emission of </w:t>
      </w:r>
      <w:r>
        <w:rPr>
          <w:rFonts w:hint="eastAsia"/>
          <w:lang w:eastAsia="zh-CN"/>
        </w:rPr>
        <w:t xml:space="preserve">primary pollutants </w:t>
      </w:r>
      <w:r>
        <w:rPr>
          <w:lang w:eastAsia="zh-CN"/>
        </w:rPr>
        <w:t>as well as to the increased night-time stability.</w:t>
      </w:r>
    </w:p>
    <w:p w:rsidR="00F6191F" w:rsidRDefault="00F6191F">
      <w:pPr>
        <w:jc w:val="both"/>
        <w:rPr>
          <w:lang w:eastAsia="zh-CN"/>
        </w:rPr>
      </w:pPr>
    </w:p>
    <w:p w:rsidR="00F6191F" w:rsidRDefault="00E5706D">
      <w:pPr>
        <w:widowControl w:val="0"/>
        <w:autoSpaceDE w:val="0"/>
        <w:autoSpaceDN w:val="0"/>
        <w:adjustRightInd w:val="0"/>
        <w:rPr>
          <w:rFonts w:ascii="Didot" w:hAnsi="Didot" w:cs="Didot"/>
          <w:sz w:val="36"/>
          <w:szCs w:val="36"/>
          <w:lang w:val="en-US"/>
        </w:rPr>
      </w:pPr>
      <w:r>
        <w:rPr>
          <w:rFonts w:ascii="Didot" w:hAnsi="Didot" w:cs="Didot"/>
          <w:noProof/>
          <w:sz w:val="36"/>
          <w:szCs w:val="36"/>
          <w:lang w:val="en-US" w:eastAsia="zh-CN"/>
        </w:rPr>
        <w:lastRenderedPageBreak/>
        <w:drawing>
          <wp:inline distT="0" distB="0" distL="0" distR="0">
            <wp:extent cx="5824855" cy="4000500"/>
            <wp:effectExtent l="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
                    <pic:cNvPicPr>
                      <a:picLocks noChangeAspect="1" noChangeArrowheads="1"/>
                    </pic:cNvPicPr>
                  </pic:nvPicPr>
                  <pic:blipFill>
                    <a:blip r:embed="rId65">
                      <a:extLst>
                        <a:ext uri="{28A0092B-C50C-407E-A947-70E740481C1C}">
                          <a14:useLocalDpi xmlns:a14="http://schemas.microsoft.com/office/drawing/2010/main" val="0"/>
                        </a:ext>
                      </a:extLst>
                    </a:blip>
                    <a:srcRect l="9246" r="5408" b="5662"/>
                    <a:stretch>
                      <a:fillRect/>
                    </a:stretch>
                  </pic:blipFill>
                  <pic:spPr>
                    <a:xfrm>
                      <a:off x="0" y="0"/>
                      <a:ext cx="5827865" cy="4002521"/>
                    </a:xfrm>
                    <a:prstGeom prst="rect">
                      <a:avLst/>
                    </a:prstGeom>
                    <a:noFill/>
                    <a:ln>
                      <a:noFill/>
                    </a:ln>
                  </pic:spPr>
                </pic:pic>
              </a:graphicData>
            </a:graphic>
          </wp:inline>
        </w:drawing>
      </w:r>
    </w:p>
    <w:p w:rsidR="00F6191F" w:rsidRDefault="00F6191F">
      <w:pPr>
        <w:jc w:val="both"/>
        <w:rPr>
          <w:b/>
          <w:sz w:val="22"/>
          <w:szCs w:val="22"/>
        </w:rPr>
      </w:pPr>
    </w:p>
    <w:p w:rsidR="00F6191F" w:rsidRDefault="00E5706D">
      <w:pPr>
        <w:jc w:val="both"/>
        <w:rPr>
          <w:sz w:val="22"/>
          <w:szCs w:val="22"/>
        </w:rPr>
      </w:pPr>
      <w:r>
        <w:rPr>
          <w:b/>
          <w:sz w:val="22"/>
          <w:szCs w:val="22"/>
        </w:rPr>
        <w:t>Figure 10.</w:t>
      </w:r>
      <w:r>
        <w:rPr>
          <w:sz w:val="22"/>
          <w:szCs w:val="22"/>
        </w:rPr>
        <w:t xml:space="preserve"> Upper panel: Diurnal variation of ozone (left), NO</w:t>
      </w:r>
      <w:r>
        <w:rPr>
          <w:sz w:val="22"/>
          <w:szCs w:val="22"/>
          <w:vertAlign w:val="subscript"/>
        </w:rPr>
        <w:t>2</w:t>
      </w:r>
      <w:r>
        <w:rPr>
          <w:sz w:val="22"/>
          <w:szCs w:val="22"/>
        </w:rPr>
        <w:t xml:space="preserve"> (middle) and Ox = NO</w:t>
      </w:r>
      <w:r>
        <w:rPr>
          <w:sz w:val="22"/>
          <w:szCs w:val="22"/>
          <w:vertAlign w:val="subscript"/>
        </w:rPr>
        <w:t>2</w:t>
      </w:r>
      <w:r>
        <w:rPr>
          <w:sz w:val="22"/>
          <w:szCs w:val="22"/>
        </w:rPr>
        <w:t xml:space="preserve"> + O</w:t>
      </w:r>
      <w:r>
        <w:rPr>
          <w:sz w:val="22"/>
          <w:szCs w:val="22"/>
          <w:vertAlign w:val="subscript"/>
        </w:rPr>
        <w:t>3</w:t>
      </w:r>
      <w:r>
        <w:rPr>
          <w:sz w:val="22"/>
          <w:szCs w:val="22"/>
        </w:rPr>
        <w:t xml:space="preserve"> (right) for the period 1</w:t>
      </w:r>
      <w:r>
        <w:rPr>
          <w:sz w:val="22"/>
          <w:szCs w:val="22"/>
          <w:vertAlign w:val="superscript"/>
        </w:rPr>
        <w:t xml:space="preserve">st </w:t>
      </w:r>
      <w:r>
        <w:rPr>
          <w:sz w:val="22"/>
          <w:szCs w:val="22"/>
        </w:rPr>
        <w:t>- 15</w:t>
      </w:r>
      <w:r>
        <w:rPr>
          <w:sz w:val="22"/>
          <w:szCs w:val="22"/>
          <w:vertAlign w:val="superscript"/>
        </w:rPr>
        <w:t>th</w:t>
      </w:r>
      <w:r>
        <w:rPr>
          <w:sz w:val="22"/>
          <w:szCs w:val="22"/>
        </w:rPr>
        <w:t xml:space="preserve"> March 2017 for all cities included in the MarcoPolo-Panda Prediction system for all seven models and the ensemble median, and the observations (red line).  Middle panel: Root Mean Square Error (RMSE) for ozone (left), NO</w:t>
      </w:r>
      <w:r>
        <w:rPr>
          <w:sz w:val="22"/>
          <w:szCs w:val="22"/>
          <w:vertAlign w:val="subscript"/>
        </w:rPr>
        <w:t>2</w:t>
      </w:r>
      <w:r>
        <w:rPr>
          <w:sz w:val="22"/>
          <w:szCs w:val="22"/>
        </w:rPr>
        <w:t xml:space="preserve"> (middle) and Ox (right). Lower panel: Bias for ozone (left), NO</w:t>
      </w:r>
      <w:r>
        <w:rPr>
          <w:sz w:val="22"/>
          <w:szCs w:val="22"/>
          <w:vertAlign w:val="subscript"/>
        </w:rPr>
        <w:t>2</w:t>
      </w:r>
      <w:r>
        <w:rPr>
          <w:sz w:val="22"/>
          <w:szCs w:val="22"/>
        </w:rPr>
        <w:t xml:space="preserve"> (middle) and Ox (right) for all models and for the ensemble median (black line).</w:t>
      </w:r>
    </w:p>
    <w:p w:rsidR="00F6191F" w:rsidRDefault="00F6191F">
      <w:pPr>
        <w:widowControl w:val="0"/>
        <w:autoSpaceDE w:val="0"/>
        <w:autoSpaceDN w:val="0"/>
        <w:adjustRightInd w:val="0"/>
        <w:rPr>
          <w:rFonts w:ascii="Didot" w:hAnsi="Didot" w:cs="Didot"/>
          <w:sz w:val="36"/>
          <w:szCs w:val="36"/>
        </w:rPr>
      </w:pPr>
    </w:p>
    <w:p w:rsidR="00F6191F" w:rsidRDefault="00E5706D">
      <w:pPr>
        <w:widowControl w:val="0"/>
        <w:autoSpaceDE w:val="0"/>
        <w:autoSpaceDN w:val="0"/>
        <w:adjustRightInd w:val="0"/>
        <w:rPr>
          <w:rFonts w:ascii="Didot" w:hAnsi="Didot" w:cs="Didot"/>
          <w:sz w:val="36"/>
          <w:szCs w:val="36"/>
          <w:lang w:val="en-US"/>
        </w:rPr>
      </w:pPr>
      <w:r>
        <w:rPr>
          <w:rFonts w:ascii="Didot" w:hAnsi="Didot" w:cs="Didot"/>
          <w:noProof/>
          <w:sz w:val="36"/>
          <w:szCs w:val="36"/>
          <w:lang w:val="en-US" w:eastAsia="zh-CN"/>
        </w:rPr>
        <w:lastRenderedPageBreak/>
        <w:drawing>
          <wp:inline distT="0" distB="0" distL="0" distR="0">
            <wp:extent cx="5874385" cy="4114800"/>
            <wp:effectExtent l="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pic:cNvPicPr>
                      <a:picLocks noChangeAspect="1" noChangeArrowheads="1"/>
                    </pic:cNvPicPr>
                  </pic:nvPicPr>
                  <pic:blipFill>
                    <a:blip r:embed="rId66">
                      <a:extLst>
                        <a:ext uri="{28A0092B-C50C-407E-A947-70E740481C1C}">
                          <a14:useLocalDpi xmlns:a14="http://schemas.microsoft.com/office/drawing/2010/main" val="0"/>
                        </a:ext>
                      </a:extLst>
                    </a:blip>
                    <a:srcRect l="8824" r="8219" b="5361"/>
                    <a:stretch>
                      <a:fillRect/>
                    </a:stretch>
                  </pic:blipFill>
                  <pic:spPr>
                    <a:xfrm>
                      <a:off x="0" y="0"/>
                      <a:ext cx="5877740" cy="4116947"/>
                    </a:xfrm>
                    <a:prstGeom prst="rect">
                      <a:avLst/>
                    </a:prstGeom>
                    <a:noFill/>
                    <a:ln>
                      <a:noFill/>
                    </a:ln>
                  </pic:spPr>
                </pic:pic>
              </a:graphicData>
            </a:graphic>
          </wp:inline>
        </w:drawing>
      </w:r>
    </w:p>
    <w:p w:rsidR="00F6191F" w:rsidRDefault="00F6191F">
      <w:pPr>
        <w:jc w:val="both"/>
        <w:rPr>
          <w:b/>
          <w:sz w:val="22"/>
          <w:szCs w:val="22"/>
        </w:rPr>
      </w:pPr>
    </w:p>
    <w:p w:rsidR="00F6191F" w:rsidRDefault="00E5706D">
      <w:pPr>
        <w:jc w:val="both"/>
        <w:rPr>
          <w:sz w:val="22"/>
          <w:szCs w:val="22"/>
        </w:rPr>
      </w:pPr>
      <w:r>
        <w:rPr>
          <w:b/>
          <w:sz w:val="22"/>
          <w:szCs w:val="22"/>
        </w:rPr>
        <w:t>Figure 11.a.</w:t>
      </w:r>
      <w:r>
        <w:rPr>
          <w:sz w:val="22"/>
          <w:szCs w:val="22"/>
        </w:rPr>
        <w:t xml:space="preserve"> Same as Figure 10, but for the urban area of Beijing. The statistical variables for PM2.5 are also included.</w:t>
      </w:r>
    </w:p>
    <w:p w:rsidR="00F6191F" w:rsidRDefault="00F6191F">
      <w:pPr>
        <w:widowControl w:val="0"/>
        <w:autoSpaceDE w:val="0"/>
        <w:autoSpaceDN w:val="0"/>
        <w:adjustRightInd w:val="0"/>
        <w:jc w:val="both"/>
        <w:rPr>
          <w:rFonts w:ascii="Arial" w:hAnsi="Arial" w:cs="Arial"/>
          <w:sz w:val="22"/>
          <w:szCs w:val="22"/>
        </w:rPr>
      </w:pPr>
    </w:p>
    <w:p w:rsidR="00F6191F" w:rsidRDefault="00F6191F">
      <w:pPr>
        <w:pStyle w:val="ListParagraph"/>
        <w:ind w:left="1080"/>
        <w:jc w:val="center"/>
      </w:pPr>
    </w:p>
    <w:p w:rsidR="00F6191F" w:rsidRDefault="00F6191F">
      <w:pPr>
        <w:widowControl w:val="0"/>
        <w:autoSpaceDE w:val="0"/>
        <w:autoSpaceDN w:val="0"/>
        <w:adjustRightInd w:val="0"/>
        <w:rPr>
          <w:rFonts w:ascii="Didot" w:hAnsi="Didot" w:cs="Didot"/>
          <w:sz w:val="36"/>
          <w:szCs w:val="36"/>
        </w:rPr>
      </w:pPr>
    </w:p>
    <w:p w:rsidR="00F6191F" w:rsidRDefault="00F6191F">
      <w:pPr>
        <w:widowControl w:val="0"/>
        <w:autoSpaceDE w:val="0"/>
        <w:autoSpaceDN w:val="0"/>
        <w:adjustRightInd w:val="0"/>
        <w:jc w:val="center"/>
        <w:rPr>
          <w:rFonts w:ascii="Didot" w:hAnsi="Didot" w:cs="Didot"/>
          <w:sz w:val="36"/>
          <w:szCs w:val="36"/>
        </w:rPr>
      </w:pPr>
    </w:p>
    <w:p w:rsidR="00F6191F" w:rsidRDefault="00E5706D">
      <w:pPr>
        <w:widowControl w:val="0"/>
        <w:autoSpaceDE w:val="0"/>
        <w:autoSpaceDN w:val="0"/>
        <w:adjustRightInd w:val="0"/>
        <w:rPr>
          <w:rFonts w:ascii="Didot" w:hAnsi="Didot" w:cs="Didot"/>
          <w:sz w:val="36"/>
          <w:szCs w:val="36"/>
          <w:lang w:val="en-US"/>
        </w:rPr>
      </w:pPr>
      <w:r>
        <w:rPr>
          <w:rFonts w:ascii="Didot" w:hAnsi="Didot" w:cs="Didot"/>
          <w:noProof/>
          <w:sz w:val="36"/>
          <w:szCs w:val="36"/>
          <w:lang w:val="en-US" w:eastAsia="zh-CN"/>
        </w:rPr>
        <w:lastRenderedPageBreak/>
        <w:drawing>
          <wp:inline distT="0" distB="0" distL="0" distR="0">
            <wp:extent cx="5858510" cy="4114800"/>
            <wp:effectExtent l="0" t="0" r="889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7"/>
                    <pic:cNvPicPr>
                      <a:picLocks noChangeAspect="1" noChangeArrowheads="1"/>
                    </pic:cNvPicPr>
                  </pic:nvPicPr>
                  <pic:blipFill>
                    <a:blip r:embed="rId67">
                      <a:extLst>
                        <a:ext uri="{28A0092B-C50C-407E-A947-70E740481C1C}">
                          <a14:useLocalDpi xmlns:a14="http://schemas.microsoft.com/office/drawing/2010/main" val="0"/>
                        </a:ext>
                      </a:extLst>
                    </a:blip>
                    <a:srcRect l="8629" r="8426" b="4692"/>
                    <a:stretch>
                      <a:fillRect/>
                    </a:stretch>
                  </pic:blipFill>
                  <pic:spPr>
                    <a:xfrm>
                      <a:off x="0" y="0"/>
                      <a:ext cx="5860398" cy="4116126"/>
                    </a:xfrm>
                    <a:prstGeom prst="rect">
                      <a:avLst/>
                    </a:prstGeom>
                    <a:noFill/>
                    <a:ln>
                      <a:noFill/>
                    </a:ln>
                  </pic:spPr>
                </pic:pic>
              </a:graphicData>
            </a:graphic>
          </wp:inline>
        </w:drawing>
      </w:r>
    </w:p>
    <w:p w:rsidR="00F6191F" w:rsidRDefault="00F6191F">
      <w:pPr>
        <w:jc w:val="both"/>
        <w:rPr>
          <w:rFonts w:ascii="Arial" w:hAnsi="Arial"/>
          <w:b/>
          <w:sz w:val="22"/>
          <w:szCs w:val="22"/>
        </w:rPr>
      </w:pPr>
    </w:p>
    <w:p w:rsidR="00F6191F" w:rsidRDefault="00E5706D">
      <w:pPr>
        <w:jc w:val="both"/>
        <w:rPr>
          <w:sz w:val="22"/>
          <w:szCs w:val="22"/>
        </w:rPr>
      </w:pPr>
      <w:r>
        <w:rPr>
          <w:b/>
          <w:sz w:val="22"/>
          <w:szCs w:val="22"/>
        </w:rPr>
        <w:t>Figure</w:t>
      </w:r>
      <w:r>
        <w:rPr>
          <w:sz w:val="22"/>
          <w:szCs w:val="22"/>
        </w:rPr>
        <w:t xml:space="preserve"> </w:t>
      </w:r>
      <w:r>
        <w:rPr>
          <w:b/>
          <w:sz w:val="22"/>
          <w:szCs w:val="22"/>
        </w:rPr>
        <w:t>11b.</w:t>
      </w:r>
      <w:r>
        <w:rPr>
          <w:sz w:val="22"/>
          <w:szCs w:val="22"/>
        </w:rPr>
        <w:t xml:space="preserve"> Same as Figure 10, but for the urban area of Shanghai. The statistical variables for PM2.5 are also included.</w:t>
      </w:r>
    </w:p>
    <w:p w:rsidR="00F6191F" w:rsidRDefault="00F6191F">
      <w:pPr>
        <w:widowControl w:val="0"/>
        <w:autoSpaceDE w:val="0"/>
        <w:autoSpaceDN w:val="0"/>
        <w:adjustRightInd w:val="0"/>
        <w:jc w:val="both"/>
        <w:rPr>
          <w:rFonts w:ascii="Arial" w:hAnsi="Arial" w:cs="Arial"/>
          <w:sz w:val="22"/>
          <w:szCs w:val="22"/>
        </w:rPr>
      </w:pPr>
    </w:p>
    <w:p w:rsidR="00F6191F" w:rsidRDefault="00F6191F">
      <w:pPr>
        <w:widowControl w:val="0"/>
        <w:autoSpaceDE w:val="0"/>
        <w:autoSpaceDN w:val="0"/>
        <w:adjustRightInd w:val="0"/>
        <w:rPr>
          <w:rFonts w:ascii="Didot" w:hAnsi="Didot" w:cs="Didot"/>
          <w:sz w:val="36"/>
          <w:szCs w:val="36"/>
        </w:rPr>
      </w:pPr>
    </w:p>
    <w:p w:rsidR="00F6191F" w:rsidRDefault="00F6191F">
      <w:pPr>
        <w:widowControl w:val="0"/>
        <w:autoSpaceDE w:val="0"/>
        <w:autoSpaceDN w:val="0"/>
        <w:adjustRightInd w:val="0"/>
        <w:jc w:val="center"/>
        <w:rPr>
          <w:rFonts w:ascii="Didot" w:hAnsi="Didot" w:cs="Didot"/>
          <w:sz w:val="36"/>
          <w:szCs w:val="36"/>
        </w:rPr>
      </w:pPr>
    </w:p>
    <w:p w:rsidR="00F6191F" w:rsidRDefault="00E5706D">
      <w:pPr>
        <w:widowControl w:val="0"/>
        <w:autoSpaceDE w:val="0"/>
        <w:autoSpaceDN w:val="0"/>
        <w:adjustRightInd w:val="0"/>
        <w:rPr>
          <w:rFonts w:ascii="Didot" w:hAnsi="Didot" w:cs="Didot"/>
          <w:sz w:val="36"/>
          <w:szCs w:val="36"/>
          <w:lang w:val="en-US"/>
        </w:rPr>
      </w:pPr>
      <w:r>
        <w:rPr>
          <w:rFonts w:ascii="Didot" w:hAnsi="Didot" w:cs="Didot"/>
          <w:noProof/>
          <w:sz w:val="36"/>
          <w:szCs w:val="36"/>
          <w:lang w:val="en-US" w:eastAsia="zh-CN"/>
        </w:rPr>
        <w:lastRenderedPageBreak/>
        <w:drawing>
          <wp:inline distT="0" distB="0" distL="0" distR="0">
            <wp:extent cx="5715000" cy="4021455"/>
            <wp:effectExtent l="0" t="0" r="0"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9"/>
                    <pic:cNvPicPr>
                      <a:picLocks noChangeAspect="1" noChangeArrowheads="1"/>
                    </pic:cNvPicPr>
                  </pic:nvPicPr>
                  <pic:blipFill>
                    <a:blip r:embed="rId68">
                      <a:extLst>
                        <a:ext uri="{28A0092B-C50C-407E-A947-70E740481C1C}">
                          <a14:useLocalDpi xmlns:a14="http://schemas.microsoft.com/office/drawing/2010/main" val="0"/>
                        </a:ext>
                      </a:extLst>
                    </a:blip>
                    <a:srcRect l="9134" r="8298" b="5344"/>
                    <a:stretch>
                      <a:fillRect/>
                    </a:stretch>
                  </pic:blipFill>
                  <pic:spPr>
                    <a:xfrm>
                      <a:off x="0" y="0"/>
                      <a:ext cx="5717117" cy="4023157"/>
                    </a:xfrm>
                    <a:prstGeom prst="rect">
                      <a:avLst/>
                    </a:prstGeom>
                    <a:noFill/>
                    <a:ln>
                      <a:noFill/>
                    </a:ln>
                  </pic:spPr>
                </pic:pic>
              </a:graphicData>
            </a:graphic>
          </wp:inline>
        </w:drawing>
      </w:r>
    </w:p>
    <w:p w:rsidR="00F6191F" w:rsidRDefault="00F6191F">
      <w:pPr>
        <w:pStyle w:val="ListParagraph"/>
        <w:ind w:left="1080"/>
        <w:jc w:val="center"/>
      </w:pPr>
    </w:p>
    <w:p w:rsidR="00F6191F" w:rsidRDefault="00E5706D">
      <w:pPr>
        <w:jc w:val="both"/>
        <w:rPr>
          <w:sz w:val="22"/>
          <w:szCs w:val="22"/>
        </w:rPr>
      </w:pPr>
      <w:r>
        <w:rPr>
          <w:b/>
          <w:sz w:val="22"/>
          <w:szCs w:val="22"/>
        </w:rPr>
        <w:t>Figure 11c.</w:t>
      </w:r>
      <w:r>
        <w:rPr>
          <w:sz w:val="22"/>
          <w:szCs w:val="22"/>
        </w:rPr>
        <w:t xml:space="preserve"> Same as Figure 10, but for the urban area of Guangzhou. The statistical variables for PM2.5 are also included.</w:t>
      </w:r>
    </w:p>
    <w:p w:rsidR="00F6191F" w:rsidRDefault="00F6191F">
      <w:pPr>
        <w:pStyle w:val="ListParagraph"/>
        <w:ind w:left="1080"/>
        <w:jc w:val="both"/>
        <w:rPr>
          <w:rFonts w:ascii="Arial" w:hAnsi="Arial" w:cs="Arial"/>
          <w:sz w:val="22"/>
          <w:szCs w:val="22"/>
        </w:rPr>
      </w:pPr>
    </w:p>
    <w:p w:rsidR="00F6191F" w:rsidRDefault="00F6191F">
      <w:pPr>
        <w:rPr>
          <w:b/>
          <w:i/>
        </w:rPr>
      </w:pPr>
    </w:p>
    <w:p w:rsidR="00F6191F" w:rsidRDefault="00E5706D">
      <w:pPr>
        <w:rPr>
          <w:b/>
          <w:sz w:val="28"/>
          <w:szCs w:val="28"/>
        </w:rPr>
      </w:pPr>
      <w:r>
        <w:rPr>
          <w:b/>
          <w:sz w:val="28"/>
          <w:szCs w:val="28"/>
        </w:rPr>
        <w:t>6.  Approaches to Improve the Forecasts</w:t>
      </w:r>
    </w:p>
    <w:p w:rsidR="00F6191F" w:rsidRDefault="00F6191F"/>
    <w:p w:rsidR="00F6191F" w:rsidRDefault="00E5706D">
      <w:pPr>
        <w:jc w:val="both"/>
      </w:pPr>
      <w:r>
        <w:t xml:space="preserve">The inter-comparison presented in the previous sections provides useful information and represents the basis on which the accuracy of the model predictions can be improved. Since the models have been developed rather independently and the choices about input parameters such as emissions, chemical schemes and adopted weather forecasts have been based on best judgement by these individual teams, a statistical treatment of the model results (e.g., determination of averages and standard deviation) provides in general more reliable information than the data provided by the individual model components of the ensemble. The examination of the model output reveals, however, some systematic biases that could be reduced by identifying the likely cause of these errors. </w:t>
      </w:r>
    </w:p>
    <w:p w:rsidR="00F6191F" w:rsidRDefault="00F6191F">
      <w:pPr>
        <w:jc w:val="both"/>
      </w:pPr>
    </w:p>
    <w:p w:rsidR="00F6191F" w:rsidRDefault="00E5706D">
      <w:pPr>
        <w:pStyle w:val="CommentText"/>
        <w:jc w:val="both"/>
      </w:pPr>
      <w:r>
        <w:t xml:space="preserve">A simple approach is to recognize that the failure of models to correctly predict air quality could result from several factors: (1) errors in the adopted emissions and the formulation of boundary layer dispersion best diagnosed by analysing the ability of the model to reproduce the monthly mean surface concentrations of chemical species; (2) errors or omission in the adopted chemical scheme leading to inaccuracies in the calculated mean diurnal variations in the concentrations of secondary species; and (3) inaccuracies in the adopted weather forecasts leading to poorly calculated day-to-day variations in the calculated chemical fields. In this later case, one should distinguish between fundamental model biases (i.e., the representation of PBL mixing, a bias that is intrinsic to the models) and the increasing error in </w:t>
      </w:r>
      <w:r>
        <w:lastRenderedPageBreak/>
        <w:t xml:space="preserve">the forecast of synoptic weather patterns as the model integration proceeds. This probably provides an oversimplified view of the causes of errors in chemical weather forecasts, but it offers a simple approach to address some issues in the models and hence to improve the predictions. </w:t>
      </w:r>
    </w:p>
    <w:p w:rsidR="00F6191F" w:rsidRDefault="00F6191F">
      <w:pPr>
        <w:jc w:val="both"/>
      </w:pPr>
    </w:p>
    <w:p w:rsidR="00F6191F" w:rsidRDefault="00E5706D">
      <w:pPr>
        <w:jc w:val="both"/>
      </w:pPr>
      <w:r>
        <w:t xml:space="preserve">A first step towards the improvement of the different model components will be to conduct additional simulations by adopting the same </w:t>
      </w:r>
      <w:r>
        <w:rPr>
          <w:rFonts w:hint="eastAsia"/>
          <w:lang w:eastAsia="zh-CN"/>
        </w:rPr>
        <w:t xml:space="preserve">best available </w:t>
      </w:r>
      <w:r>
        <w:t>emissions data and the same meteorological forecasts. Remaining differences between the models will be due in large part (although not exclusively) to the adopted chemical scheme and the formulation of boundary layer processes. An additional step would be to bring the different formulations of chemistry closer together by at least harmonizing the adopted rate constants and using the same module to calculate photodissociation rates. Finally, it would be interesting to assess the differences in chemical weather predictions resulting from the adopted meteorological forecasts. In particular, it would be important to better constraint the differences in the photolysis rates resulting from the adopted or calculated concentrations of aerosols and in cloudiness. One single model could be run for several days with the weather predictions produced by different meteorological centres.</w:t>
      </w:r>
    </w:p>
    <w:p w:rsidR="00F6191F" w:rsidRDefault="00F6191F"/>
    <w:p w:rsidR="00F6191F" w:rsidRDefault="00E5706D">
      <w:pPr>
        <w:jc w:val="both"/>
      </w:pPr>
      <w:r>
        <w:t>Finally, a few specific issues from the present inter-comparison require attention:</w:t>
      </w:r>
    </w:p>
    <w:p w:rsidR="00F6191F" w:rsidRDefault="00F6191F">
      <w:pPr>
        <w:jc w:val="both"/>
      </w:pPr>
    </w:p>
    <w:p w:rsidR="00F6191F" w:rsidRDefault="00E5706D">
      <w:pPr>
        <w:pStyle w:val="ListParagraph"/>
        <w:numPr>
          <w:ilvl w:val="0"/>
          <w:numId w:val="2"/>
        </w:numPr>
        <w:jc w:val="both"/>
      </w:pPr>
      <w:r>
        <w:t>Most models overestimate the surface levels of NO</w:t>
      </w:r>
      <w:r>
        <w:rPr>
          <w:vertAlign w:val="subscript"/>
        </w:rPr>
        <w:t>2</w:t>
      </w:r>
      <w:r>
        <w:t xml:space="preserve"> and PM2.5 as well as other species emitted at the surface, specifically during night-time. The largest discrepancies appear around 18”00 LT when the surface cools and the boundary layer collapses and the emitted species remain trapped in the lowest model layers. Evidently, these models underestimate the vertical exchanges between layer</w:t>
      </w:r>
      <w:r>
        <w:rPr>
          <w:rFonts w:hint="eastAsia"/>
          <w:lang w:eastAsia="zh-CN"/>
        </w:rPr>
        <w:t>s</w:t>
      </w:r>
      <w:r>
        <w:t xml:space="preserve"> probably produced by the turbulence thermally or mechanically generated by the presence of buildings. Such effects are not accounted for in models that do include a specialized urban formulation. The overestimation of NO</w:t>
      </w:r>
      <w:r>
        <w:rPr>
          <w:vertAlign w:val="subscript"/>
        </w:rPr>
        <w:t>2</w:t>
      </w:r>
      <w:r>
        <w:t xml:space="preserve"> during night-time leads to the titration of ozone near the surface and hence an underestimation of the concentration of this gas. The emission injection height is also a relevant factor here, which can largely influence results. During night-time emissions from stacks may be emitted above the mixing layer. However if the injection height in the model is put at lower altitude (or even at the surface) this could lead to overestimation of emissions. The LOTOS-EUROS model evaluated the impact of emission injection heights. An update of the emission heights was tested that injects emissions from industry at lower heights, representing that the number of high stacks is limited (not that contrarily to most models, in the case of LOTOS-EUROS the concentrations at night-time are often underestimated (see Figures 10 and 11). Figure 12 shows diurnal cycles of the simulated PM2.5 concentrations in the city of Chengdu, averaged over an entire year. The updated emission heights clearly have a large (positive) impact on the simulations.</w:t>
      </w:r>
    </w:p>
    <w:p w:rsidR="00F6191F" w:rsidRDefault="00E5706D">
      <w:pPr>
        <w:pStyle w:val="ListParagraph"/>
        <w:numPr>
          <w:ilvl w:val="0"/>
          <w:numId w:val="2"/>
        </w:numPr>
        <w:jc w:val="both"/>
      </w:pPr>
      <w:r>
        <w:t>Daytime concentrations of ozone are generally underestimated in most regions of eastern China, even when the level of NO</w:t>
      </w:r>
      <w:r>
        <w:rPr>
          <w:vertAlign w:val="subscript"/>
        </w:rPr>
        <w:t>2</w:t>
      </w:r>
      <w:r>
        <w:t xml:space="preserve"> is in reasonable agreement with the values reported by the monitoring stations. The discrepancy could be caused by an underestimation of the emissions of some VOCs, especially in urban areas where ozone is often VOC-limited. More work is required to investigate this question.</w:t>
      </w:r>
    </w:p>
    <w:p w:rsidR="00F6191F" w:rsidRDefault="00E5706D">
      <w:pPr>
        <w:pStyle w:val="ListParagraph"/>
        <w:numPr>
          <w:ilvl w:val="0"/>
          <w:numId w:val="2"/>
        </w:numPr>
        <w:jc w:val="both"/>
      </w:pPr>
      <w:r>
        <w:t xml:space="preserve">Emissions of primarily pollutants are changing extremely rapidly in China. The adopted emissions inventories usually reflect to the situation a few years before present-day. </w:t>
      </w:r>
      <w:r>
        <w:lastRenderedPageBreak/>
        <w:t xml:space="preserve">Since the current emissions have decreased significantly in some urban areas of China in response to measures taken by the authorities, the emissions used in this case for current forecasts may be overestimated. For example, the EMEP model team applied a reduction in NOx emissions after the study period of March 2017 and thereby, through less ozone titration, reduced the severe underestimation of ozone. </w:t>
      </w:r>
    </w:p>
    <w:p w:rsidR="00F6191F" w:rsidRDefault="00E5706D">
      <w:pPr>
        <w:pStyle w:val="ListParagraph"/>
        <w:numPr>
          <w:ilvl w:val="0"/>
          <w:numId w:val="2"/>
        </w:numPr>
        <w:jc w:val="both"/>
      </w:pPr>
      <w:r>
        <w:t>Land-use data. Due to the rapid development occurring in particular in the Eastern part of China, land-use data and vegetation change rapidly, and data sets in the model may not accurately reflect the current situation. This has an influence on emissions (including biogenic) but also deposition of pollutants and even meteorology. Land-use data should be updated using satellite observations, urban planning maps and other data sources.</w:t>
      </w:r>
    </w:p>
    <w:p w:rsidR="00F6191F" w:rsidRDefault="00F6191F"/>
    <w:p w:rsidR="00F6191F" w:rsidRDefault="00E5706D">
      <w:pPr>
        <w:jc w:val="center"/>
      </w:pPr>
      <w:r>
        <w:rPr>
          <w:noProof/>
          <w:lang w:val="en-US" w:eastAsia="zh-CN"/>
        </w:rPr>
        <w:drawing>
          <wp:inline distT="0" distB="0" distL="0" distR="0">
            <wp:extent cx="3761740" cy="21151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3761740" cy="2115185"/>
                    </a:xfrm>
                    <a:prstGeom prst="rect">
                      <a:avLst/>
                    </a:prstGeom>
                    <a:noFill/>
                  </pic:spPr>
                </pic:pic>
              </a:graphicData>
            </a:graphic>
          </wp:inline>
        </w:drawing>
      </w:r>
    </w:p>
    <w:p w:rsidR="00F6191F" w:rsidRDefault="00F6191F">
      <w:pPr>
        <w:rPr>
          <w:b/>
          <w:sz w:val="22"/>
          <w:szCs w:val="22"/>
        </w:rPr>
      </w:pPr>
    </w:p>
    <w:p w:rsidR="00F6191F" w:rsidRDefault="00E5706D">
      <w:pPr>
        <w:rPr>
          <w:sz w:val="22"/>
          <w:szCs w:val="22"/>
        </w:rPr>
      </w:pPr>
      <w:r>
        <w:rPr>
          <w:b/>
          <w:sz w:val="22"/>
          <w:szCs w:val="22"/>
        </w:rPr>
        <w:t>Figure 12.</w:t>
      </w:r>
      <w:r>
        <w:rPr>
          <w:sz w:val="22"/>
          <w:szCs w:val="22"/>
        </w:rPr>
        <w:t xml:space="preserve">   Annually averaged diurnal evolution of the PM2.5 concentrations in the city of Chengdu simulated for different values of the particulate injection height.</w:t>
      </w:r>
    </w:p>
    <w:p w:rsidR="00F6191F" w:rsidRDefault="00F6191F"/>
    <w:p w:rsidR="00F6191F" w:rsidRDefault="00F6191F"/>
    <w:p w:rsidR="00F6191F" w:rsidRDefault="00E5706D">
      <w:pPr>
        <w:rPr>
          <w:b/>
          <w:sz w:val="28"/>
          <w:szCs w:val="28"/>
        </w:rPr>
      </w:pPr>
      <w:r>
        <w:rPr>
          <w:b/>
          <w:sz w:val="28"/>
          <w:szCs w:val="28"/>
        </w:rPr>
        <w:t>7. Conclusions</w:t>
      </w:r>
    </w:p>
    <w:p w:rsidR="00F6191F" w:rsidRDefault="00F6191F"/>
    <w:p w:rsidR="00F6191F" w:rsidRDefault="00E5706D">
      <w:pPr>
        <w:jc w:val="both"/>
      </w:pPr>
      <w:r>
        <w:t>An operational multi-model air quality forecast system has been established through a close cooperation between European and Chinese research groups and with the support of the European Commission (7</w:t>
      </w:r>
      <w:r>
        <w:rPr>
          <w:vertAlign w:val="superscript"/>
        </w:rPr>
        <w:t>th</w:t>
      </w:r>
      <w:r>
        <w:t xml:space="preserve"> Framework Programme). This system provides daily forecasts for the surface concentration of key pollutants in eastern China, and particularly in the major urban centres of the country. These predictions are posted on a dedicated website (www.marcopolo-panda.eu), where they are compared hour by hour to surface measurements for each city, performed at the monitoring stations deployed in China by the PM2.5 network (</w:t>
      </w:r>
      <w:hyperlink r:id="rId70" w:history="1">
        <w:r>
          <w:rPr>
            <w:rStyle w:val="Hyperlink"/>
          </w:rPr>
          <w:t>www.pm25.int</w:t>
        </w:r>
      </w:hyperlink>
      <w:r>
        <w:t>).</w:t>
      </w:r>
    </w:p>
    <w:p w:rsidR="00F6191F" w:rsidRDefault="00F6191F">
      <w:pPr>
        <w:jc w:val="both"/>
      </w:pPr>
    </w:p>
    <w:p w:rsidR="00F6191F" w:rsidRDefault="00E5706D">
      <w:pPr>
        <w:jc w:val="both"/>
      </w:pPr>
      <w:r>
        <w:t xml:space="preserve">The discussions presented in this paper show that in most cases, the model ensemble reproduces quite satisfactorily the synoptic behaviour and the day-to-day variability of the concentrations of ozone and particulate matter and, in particular, predicts the development of most air pollution episodes a few days before their occurrence. This must be attributed to the quality of the weather forecasts at the synoptic scales that are used for the calculation of chemical species. Overall and in spite of some discrepancies that have been highlighted in the previous sections, the forecast system can therefore be regarded as successful. </w:t>
      </w:r>
    </w:p>
    <w:p w:rsidR="00F6191F" w:rsidRDefault="00F6191F">
      <w:pPr>
        <w:jc w:val="both"/>
      </w:pPr>
    </w:p>
    <w:p w:rsidR="00F6191F" w:rsidRDefault="00E5706D">
      <w:pPr>
        <w:jc w:val="both"/>
      </w:pPr>
      <w:r>
        <w:lastRenderedPageBreak/>
        <w:t>The system is in its early phase of development and the purpose of the inter-comparison exercise presented here was to diagnose differences between models and perhaps identify errors. An important objective was to determine ways by which the models could be improved. Even though, in many instances, the surface concentrations are in good or fair agreement with the measured values, differences between calculated and observed values can occasionally be substantial. These occasional differences are often attributed to inaccuracies in the weather forecasts for specific days, but errors in the adopted surface emissions and PBL exchanges or the simplifications introduced in the adopted chemical and aerosol schemes can also be substantial.</w:t>
      </w:r>
    </w:p>
    <w:p w:rsidR="00F6191F" w:rsidRDefault="00F6191F">
      <w:pPr>
        <w:jc w:val="both"/>
      </w:pPr>
    </w:p>
    <w:p w:rsidR="00F6191F" w:rsidRDefault="00E5706D">
      <w:pPr>
        <w:jc w:val="both"/>
      </w:pPr>
      <w:r>
        <w:t>The degree by which the concentrations derived by global and regional models, even at high spatial resolution, can be compared with local measurements made in a complex urban canopy remains an important issue that requires further investigation. The insertion of more detailed land-use modules or of a large eddy simulation system in the chemical transport models should be considered in future studies.</w:t>
      </w:r>
    </w:p>
    <w:p w:rsidR="00F6191F" w:rsidRDefault="00F6191F"/>
    <w:p w:rsidR="00F6191F" w:rsidRDefault="00F6191F">
      <w:pPr>
        <w:widowControl w:val="0"/>
        <w:autoSpaceDE w:val="0"/>
        <w:autoSpaceDN w:val="0"/>
        <w:adjustRightInd w:val="0"/>
        <w:rPr>
          <w:rFonts w:ascii="Times New Roman" w:hAnsi="Times New Roman" w:cs="Times New Roman"/>
          <w:lang w:val="en-US"/>
        </w:rPr>
      </w:pPr>
    </w:p>
    <w:p w:rsidR="00F6191F" w:rsidRDefault="00E5706D">
      <w:pPr>
        <w:widowControl w:val="0"/>
        <w:autoSpaceDE w:val="0"/>
        <w:autoSpaceDN w:val="0"/>
        <w:adjustRightInd w:val="0"/>
        <w:rPr>
          <w:rFonts w:cs="Times New Roman"/>
          <w:b/>
          <w:sz w:val="28"/>
          <w:szCs w:val="28"/>
          <w:lang w:val="en-US"/>
        </w:rPr>
      </w:pPr>
      <w:r>
        <w:rPr>
          <w:rFonts w:cs="Times New Roman"/>
          <w:b/>
          <w:sz w:val="28"/>
          <w:szCs w:val="28"/>
          <w:lang w:val="en-US"/>
        </w:rPr>
        <w:t>Data Availability</w:t>
      </w:r>
    </w:p>
    <w:p w:rsidR="00F6191F" w:rsidRDefault="00F6191F">
      <w:pPr>
        <w:widowControl w:val="0"/>
        <w:autoSpaceDE w:val="0"/>
        <w:autoSpaceDN w:val="0"/>
        <w:adjustRightInd w:val="0"/>
        <w:jc w:val="both"/>
        <w:rPr>
          <w:rFonts w:ascii="Times New Roman" w:hAnsi="Times New Roman" w:cs="Times New Roman"/>
          <w:lang w:val="en-US"/>
        </w:rPr>
      </w:pPr>
    </w:p>
    <w:p w:rsidR="00F6191F" w:rsidRDefault="00E5706D">
      <w:pPr>
        <w:widowControl w:val="0"/>
        <w:autoSpaceDE w:val="0"/>
        <w:autoSpaceDN w:val="0"/>
        <w:adjustRightInd w:val="0"/>
        <w:jc w:val="both"/>
        <w:rPr>
          <w:rFonts w:cs="Times New Roman"/>
          <w:lang w:val="en-US"/>
        </w:rPr>
      </w:pPr>
      <w:r>
        <w:rPr>
          <w:rFonts w:cs="Times New Roman"/>
          <w:lang w:val="en-US"/>
        </w:rPr>
        <w:t>The models described here are used operationally by the participating research and service organizations involved in the present study. The data produced by the multi-model forecasting system are available from the Royal Dutch Meteorological Institute (KNMI).</w:t>
      </w:r>
    </w:p>
    <w:p w:rsidR="00F6191F" w:rsidRDefault="00F6191F"/>
    <w:p w:rsidR="00F6191F" w:rsidRDefault="00F6191F"/>
    <w:p w:rsidR="00F6191F" w:rsidRDefault="00E5706D">
      <w:pPr>
        <w:rPr>
          <w:b/>
          <w:sz w:val="28"/>
          <w:szCs w:val="28"/>
        </w:rPr>
      </w:pPr>
      <w:r>
        <w:rPr>
          <w:b/>
          <w:sz w:val="28"/>
          <w:szCs w:val="28"/>
        </w:rPr>
        <w:t xml:space="preserve">Acknowledgements </w:t>
      </w:r>
    </w:p>
    <w:p w:rsidR="00F6191F" w:rsidRDefault="00F6191F"/>
    <w:p w:rsidR="00F6191F" w:rsidRDefault="00E5706D">
      <w:pPr>
        <w:pStyle w:val="ListParagraph"/>
        <w:ind w:left="0"/>
        <w:jc w:val="both"/>
      </w:pPr>
      <w:r>
        <w:t xml:space="preserve">The model inter-comparison presented in the present study has been conducted during a workshop organized in May 2017 by the Shanghai Meteorological Service (SMS) in China. The authors thank Jianming Xu for hosting this meeting and providing support to the participants. The ensemble of models described here has been produced under the Panda and MarcoPolo projects supported by the European Commission within the Framework Program 7 (FP7) </w:t>
      </w:r>
      <w:r>
        <w:rPr>
          <w:rFonts w:ascii="Calibri" w:hAnsi="Calibri"/>
        </w:rPr>
        <w:t>under grant agreements n°606719 and n°606953. The National Center for Atmospheric Research (NCAR) is sponsored by the US National Science Foundation.</w:t>
      </w:r>
    </w:p>
    <w:p w:rsidR="00F6191F" w:rsidRDefault="00E5706D">
      <w:pPr>
        <w:jc w:val="both"/>
      </w:pPr>
      <w:r>
        <w:br w:type="page"/>
      </w:r>
    </w:p>
    <w:p w:rsidR="00F6191F" w:rsidRDefault="00F6191F"/>
    <w:p w:rsidR="00F6191F" w:rsidRDefault="00E5706D">
      <w:pPr>
        <w:rPr>
          <w:b/>
          <w:sz w:val="28"/>
          <w:szCs w:val="28"/>
        </w:rPr>
      </w:pPr>
      <w:r>
        <w:rPr>
          <w:b/>
          <w:sz w:val="28"/>
          <w:szCs w:val="28"/>
        </w:rPr>
        <w:t>References</w:t>
      </w:r>
    </w:p>
    <w:p w:rsidR="00F6191F" w:rsidRDefault="00F6191F">
      <w:pPr>
        <w:rPr>
          <w:b/>
        </w:rPr>
      </w:pPr>
    </w:p>
    <w:p w:rsidR="00F6191F" w:rsidRPr="002A0EE6" w:rsidRDefault="00E5706D">
      <w:pPr>
        <w:autoSpaceDE w:val="0"/>
        <w:autoSpaceDN w:val="0"/>
        <w:adjustRightInd w:val="0"/>
        <w:spacing w:before="120"/>
        <w:ind w:left="450" w:hanging="450"/>
        <w:jc w:val="both"/>
        <w:rPr>
          <w:rFonts w:cs="Arial"/>
          <w:sz w:val="22"/>
          <w:szCs w:val="22"/>
        </w:rPr>
      </w:pPr>
      <w:r w:rsidRPr="00990957">
        <w:rPr>
          <w:rFonts w:cs="Arial"/>
          <w:sz w:val="22"/>
          <w:szCs w:val="22"/>
        </w:rPr>
        <w:t xml:space="preserve">Appel, K. W., Napelenok, S. L., Foley, K. M., Pye, H. O. T., Hogrefe, C., Luecken, D. J. </w:t>
      </w:r>
      <w:r w:rsidRPr="00990957">
        <w:rPr>
          <w:rFonts w:cs="Arial"/>
          <w:sz w:val="22"/>
          <w:szCs w:val="22"/>
          <w:lang w:eastAsia="zh-CN"/>
        </w:rPr>
        <w:t>et al.</w:t>
      </w:r>
      <w:r w:rsidRPr="00990957">
        <w:rPr>
          <w:rFonts w:cs="Arial"/>
          <w:sz w:val="22"/>
          <w:szCs w:val="22"/>
        </w:rPr>
        <w:t xml:space="preserve">.: Overview and evaluation of the Community Multiscale Air Quality (CMAQ) model version 5.1, </w:t>
      </w:r>
      <w:r w:rsidRPr="002A0EE6">
        <w:rPr>
          <w:rFonts w:cs="Arial"/>
          <w:sz w:val="22"/>
          <w:szCs w:val="22"/>
        </w:rPr>
        <w:t>Geosci. Model Dev</w:t>
      </w:r>
      <w:r w:rsidRPr="00990957">
        <w:rPr>
          <w:rFonts w:cs="Arial"/>
          <w:sz w:val="22"/>
          <w:szCs w:val="22"/>
        </w:rPr>
        <w:t xml:space="preserve">., </w:t>
      </w:r>
      <w:r w:rsidRPr="002A0EE6">
        <w:rPr>
          <w:rFonts w:cs="Arial"/>
          <w:sz w:val="22"/>
          <w:szCs w:val="22"/>
        </w:rPr>
        <w:t>10</w:t>
      </w:r>
      <w:r w:rsidR="00990957" w:rsidRPr="00990957">
        <w:rPr>
          <w:rFonts w:cs="Arial"/>
          <w:sz w:val="22"/>
          <w:szCs w:val="22"/>
        </w:rPr>
        <w:t>,</w:t>
      </w:r>
      <w:r w:rsidRPr="002A0EE6">
        <w:rPr>
          <w:rFonts w:cs="Arial"/>
          <w:sz w:val="22"/>
          <w:szCs w:val="22"/>
        </w:rPr>
        <w:t xml:space="preserve"> 1703-1732,</w:t>
      </w:r>
      <w:r w:rsidRPr="002A0EE6">
        <w:rPr>
          <w:rStyle w:val="Emphasis"/>
          <w:rFonts w:ascii="Helvetica" w:hAnsi="Helvetica" w:cs="Helvetica" w:hint="eastAsia"/>
          <w:i w:val="0"/>
          <w:color w:val="212121"/>
          <w:sz w:val="25"/>
          <w:szCs w:val="25"/>
          <w:shd w:val="clear" w:color="auto" w:fill="FFFFFF"/>
          <w:lang w:val="en-US" w:eastAsia="zh-CN"/>
        </w:rPr>
        <w:t xml:space="preserve"> </w:t>
      </w:r>
      <w:r w:rsidRPr="00990957">
        <w:rPr>
          <w:rFonts w:cs="Arial"/>
          <w:sz w:val="22"/>
          <w:szCs w:val="22"/>
          <w:lang w:eastAsia="zh-CN"/>
        </w:rPr>
        <w:t>doi:10.5194/gmd-10-1703-2017</w:t>
      </w:r>
      <w:r w:rsidRPr="00BB0610">
        <w:rPr>
          <w:rFonts w:cs="Arial"/>
          <w:sz w:val="22"/>
          <w:szCs w:val="22"/>
        </w:rPr>
        <w:t>, 201</w:t>
      </w:r>
      <w:r w:rsidRPr="002A0EE6">
        <w:rPr>
          <w:rFonts w:cs="Arial"/>
          <w:sz w:val="22"/>
          <w:szCs w:val="22"/>
          <w:lang w:eastAsia="zh-CN"/>
        </w:rPr>
        <w:t>7</w:t>
      </w:r>
      <w:r w:rsidRPr="002A0EE6">
        <w:rPr>
          <w:rFonts w:cs="Arial"/>
          <w:sz w:val="22"/>
          <w:szCs w:val="22"/>
        </w:rPr>
        <w:t>.</w:t>
      </w:r>
    </w:p>
    <w:p w:rsidR="00F6191F" w:rsidRPr="002A0EE6" w:rsidRDefault="00E5706D">
      <w:pPr>
        <w:spacing w:before="120"/>
        <w:ind w:left="446" w:hanging="446"/>
        <w:jc w:val="both"/>
        <w:rPr>
          <w:rFonts w:eastAsia="Times New Roman" w:cs="Times New Roman"/>
          <w:sz w:val="22"/>
          <w:szCs w:val="22"/>
        </w:rPr>
      </w:pPr>
      <w:r w:rsidRPr="002A0EE6">
        <w:rPr>
          <w:sz w:val="22"/>
          <w:szCs w:val="22"/>
        </w:rPr>
        <w:t>Bauer, P., Thorpe</w:t>
      </w:r>
      <w:r w:rsidRPr="002A0EE6">
        <w:rPr>
          <w:rFonts w:hint="eastAsia"/>
          <w:sz w:val="22"/>
          <w:szCs w:val="22"/>
          <w:lang w:val="en-US" w:eastAsia="zh-CN"/>
        </w:rPr>
        <w:t xml:space="preserve"> </w:t>
      </w:r>
      <w:r w:rsidR="006A21AD">
        <w:rPr>
          <w:sz w:val="22"/>
          <w:szCs w:val="22"/>
        </w:rPr>
        <w:t>A.</w:t>
      </w:r>
      <w:r w:rsidRPr="002A0EE6">
        <w:rPr>
          <w:sz w:val="22"/>
          <w:szCs w:val="22"/>
        </w:rPr>
        <w:t xml:space="preserve"> and Brunet</w:t>
      </w:r>
      <w:r w:rsidRPr="002A0EE6">
        <w:rPr>
          <w:rFonts w:hint="eastAsia"/>
          <w:sz w:val="22"/>
          <w:szCs w:val="22"/>
          <w:lang w:val="en-US" w:eastAsia="zh-CN"/>
        </w:rPr>
        <w:t xml:space="preserve"> </w:t>
      </w:r>
      <w:r w:rsidRPr="002A0EE6">
        <w:rPr>
          <w:sz w:val="22"/>
          <w:szCs w:val="22"/>
        </w:rPr>
        <w:t>G.</w:t>
      </w:r>
      <w:r w:rsidRPr="002A0EE6">
        <w:rPr>
          <w:rFonts w:hint="eastAsia"/>
          <w:sz w:val="22"/>
          <w:szCs w:val="22"/>
          <w:lang w:val="en-US" w:eastAsia="zh-CN"/>
        </w:rPr>
        <w:t>:</w:t>
      </w:r>
      <w:r w:rsidRPr="002A0EE6">
        <w:rPr>
          <w:sz w:val="22"/>
          <w:szCs w:val="22"/>
        </w:rPr>
        <w:t xml:space="preserve"> </w:t>
      </w:r>
      <w:r w:rsidRPr="002A0EE6">
        <w:rPr>
          <w:rFonts w:eastAsia="Times New Roman" w:cs="Times New Roman"/>
          <w:bCs/>
          <w:color w:val="222222"/>
          <w:spacing w:val="3"/>
          <w:sz w:val="22"/>
          <w:szCs w:val="22"/>
        </w:rPr>
        <w:t xml:space="preserve">The quiet revolution of numerical weather prediction, </w:t>
      </w:r>
      <w:r w:rsidRPr="002A0EE6">
        <w:rPr>
          <w:rFonts w:eastAsia="Times New Roman" w:cs="Times New Roman"/>
          <w:iCs/>
          <w:color w:val="222222"/>
          <w:spacing w:val="3"/>
          <w:sz w:val="22"/>
          <w:szCs w:val="22"/>
        </w:rPr>
        <w:t>Nature</w:t>
      </w:r>
      <w:r w:rsidRPr="00990957">
        <w:rPr>
          <w:rStyle w:val="apple-converted-space"/>
          <w:rFonts w:eastAsia="Times New Roman" w:cs="Times New Roman"/>
          <w:color w:val="222222"/>
          <w:spacing w:val="3"/>
          <w:sz w:val="22"/>
          <w:szCs w:val="22"/>
          <w:shd w:val="clear" w:color="auto" w:fill="FFFFFF"/>
        </w:rPr>
        <w:t>,</w:t>
      </w:r>
      <w:r w:rsidRPr="00BB0610">
        <w:rPr>
          <w:rStyle w:val="apple-converted-space"/>
          <w:rFonts w:eastAsia="Times New Roman" w:cs="Times New Roman"/>
          <w:bCs/>
          <w:color w:val="222222"/>
          <w:spacing w:val="3"/>
          <w:sz w:val="22"/>
          <w:szCs w:val="22"/>
        </w:rPr>
        <w:t> </w:t>
      </w:r>
      <w:r w:rsidRPr="002A0EE6">
        <w:rPr>
          <w:rFonts w:eastAsia="Times New Roman" w:cs="Times New Roman"/>
          <w:bCs/>
          <w:color w:val="222222"/>
          <w:spacing w:val="3"/>
          <w:sz w:val="22"/>
          <w:szCs w:val="22"/>
        </w:rPr>
        <w:t>525</w:t>
      </w:r>
      <w:r w:rsidRPr="00990957">
        <w:rPr>
          <w:rFonts w:eastAsia="Times New Roman" w:cs="Times New Roman"/>
          <w:color w:val="222222"/>
          <w:spacing w:val="3"/>
          <w:sz w:val="22"/>
          <w:szCs w:val="22"/>
          <w:shd w:val="clear" w:color="auto" w:fill="FFFFFF"/>
        </w:rPr>
        <w:t>,</w:t>
      </w:r>
      <w:r w:rsidRPr="00BB0610">
        <w:rPr>
          <w:rStyle w:val="apple-converted-space"/>
          <w:rFonts w:eastAsia="Times New Roman" w:cs="Times New Roman"/>
          <w:color w:val="222222"/>
          <w:spacing w:val="3"/>
          <w:sz w:val="22"/>
          <w:szCs w:val="22"/>
        </w:rPr>
        <w:t> </w:t>
      </w:r>
      <w:r w:rsidRPr="002A0EE6">
        <w:rPr>
          <w:rFonts w:eastAsia="Times New Roman" w:cs="Times New Roman"/>
          <w:color w:val="222222"/>
          <w:spacing w:val="3"/>
          <w:sz w:val="22"/>
          <w:szCs w:val="22"/>
        </w:rPr>
        <w:t>47</w:t>
      </w:r>
      <w:r w:rsidRPr="002A0EE6">
        <w:rPr>
          <w:rFonts w:eastAsia="Times New Roman" w:cs="Times New Roman"/>
          <w:color w:val="222222"/>
          <w:spacing w:val="3"/>
          <w:sz w:val="22"/>
          <w:szCs w:val="22"/>
          <w:shd w:val="clear" w:color="auto" w:fill="FFFFFF"/>
        </w:rPr>
        <w:t>–</w:t>
      </w:r>
      <w:r w:rsidRPr="002A0EE6">
        <w:rPr>
          <w:rFonts w:eastAsia="Times New Roman" w:cs="Times New Roman"/>
          <w:color w:val="222222"/>
          <w:spacing w:val="3"/>
          <w:sz w:val="22"/>
          <w:szCs w:val="22"/>
        </w:rPr>
        <w:t>55, 2015.</w:t>
      </w:r>
    </w:p>
    <w:p w:rsidR="00F6191F" w:rsidRPr="002A0EE6" w:rsidRDefault="00E5706D">
      <w:pPr>
        <w:spacing w:before="120"/>
        <w:ind w:left="450" w:hanging="450"/>
        <w:jc w:val="both"/>
        <w:rPr>
          <w:rFonts w:eastAsia="Times New Roman" w:cs="Times New Roman"/>
          <w:sz w:val="22"/>
          <w:szCs w:val="22"/>
          <w:lang w:eastAsia="nb-NO"/>
        </w:rPr>
      </w:pPr>
      <w:r w:rsidRPr="002A0EE6">
        <w:rPr>
          <w:rFonts w:eastAsia="Times New Roman" w:cs="Times New Roman"/>
          <w:sz w:val="22"/>
          <w:szCs w:val="22"/>
          <w:lang w:eastAsia="nb-NO"/>
        </w:rPr>
        <w:t>Bergström, R., Denier van der Gon, H. A. C.,</w:t>
      </w:r>
      <w:r w:rsidR="006A21AD">
        <w:rPr>
          <w:rFonts w:eastAsia="Times New Roman" w:cs="Times New Roman"/>
          <w:sz w:val="22"/>
          <w:szCs w:val="22"/>
          <w:lang w:eastAsia="nb-NO"/>
        </w:rPr>
        <w:t xml:space="preserve"> Prévôt, A. S. H., Yttri, K. E.</w:t>
      </w:r>
      <w:r w:rsidRPr="002A0EE6">
        <w:rPr>
          <w:rFonts w:eastAsia="Times New Roman" w:cs="Times New Roman"/>
          <w:sz w:val="22"/>
          <w:szCs w:val="22"/>
          <w:lang w:eastAsia="nb-NO"/>
        </w:rPr>
        <w:t xml:space="preserve"> and Simpson, D.: Modelling of organic aerosols over Europe (2002–2007) using a volatility basis set (VBS) framework: application of different assumptions regarding the formation of secondary organic aerosol, </w:t>
      </w:r>
      <w:r w:rsidRPr="002A0EE6">
        <w:rPr>
          <w:rFonts w:eastAsia="Times New Roman" w:cs="Times New Roman"/>
          <w:iCs/>
          <w:sz w:val="22"/>
          <w:szCs w:val="22"/>
          <w:lang w:eastAsia="nb-NO"/>
        </w:rPr>
        <w:t>Atmos. Chem. Phys., 12,</w:t>
      </w:r>
      <w:r w:rsidRPr="00990957">
        <w:rPr>
          <w:rFonts w:eastAsia="Times New Roman" w:cs="Times New Roman"/>
          <w:sz w:val="22"/>
          <w:szCs w:val="22"/>
          <w:lang w:eastAsia="nb-NO"/>
        </w:rPr>
        <w:t xml:space="preserve"> 8499-8527, http</w:t>
      </w:r>
      <w:r w:rsidRPr="00BB0610">
        <w:rPr>
          <w:rFonts w:eastAsia="Times New Roman" w:cs="Times New Roman"/>
          <w:sz w:val="22"/>
          <w:szCs w:val="22"/>
          <w:lang w:eastAsia="nb-NO"/>
        </w:rPr>
        <w:t>s://doi.org/10.5194/acp-12-8499-2012, 2012.</w:t>
      </w:r>
    </w:p>
    <w:p w:rsidR="00F6191F" w:rsidRPr="002A0EE6" w:rsidRDefault="00E5706D">
      <w:pPr>
        <w:autoSpaceDE w:val="0"/>
        <w:autoSpaceDN w:val="0"/>
        <w:adjustRightInd w:val="0"/>
        <w:spacing w:before="120"/>
        <w:ind w:left="450" w:hanging="450"/>
        <w:jc w:val="both"/>
        <w:rPr>
          <w:rFonts w:eastAsiaTheme="minorEastAsia" w:cs="Arial"/>
          <w:sz w:val="22"/>
          <w:szCs w:val="22"/>
        </w:rPr>
      </w:pPr>
      <w:r w:rsidRPr="002A0EE6">
        <w:rPr>
          <w:rFonts w:cs="Arial"/>
          <w:sz w:val="22"/>
          <w:szCs w:val="22"/>
        </w:rPr>
        <w:t xml:space="preserve">Byun, D. and Schere, K. L.: Review of the governing equations, computational algorithms, and other components of the Models-3 Community Multiscale Air Quality (CMAQ) modeling system, </w:t>
      </w:r>
      <w:r w:rsidRPr="002A0EE6">
        <w:rPr>
          <w:rFonts w:cs="Arial"/>
          <w:iCs/>
          <w:sz w:val="22"/>
          <w:szCs w:val="22"/>
        </w:rPr>
        <w:t>Appl. Mech. Rev., 59</w:t>
      </w:r>
      <w:r w:rsidRPr="00990957">
        <w:rPr>
          <w:rFonts w:cs="Arial"/>
          <w:iCs/>
          <w:sz w:val="22"/>
          <w:szCs w:val="22"/>
        </w:rPr>
        <w:t>,</w:t>
      </w:r>
      <w:r w:rsidRPr="00BB0610">
        <w:rPr>
          <w:rFonts w:cs="Arial"/>
          <w:sz w:val="22"/>
          <w:szCs w:val="22"/>
        </w:rPr>
        <w:t xml:space="preserve"> 51–77, 2006.</w:t>
      </w:r>
    </w:p>
    <w:p w:rsidR="00F6191F" w:rsidRPr="00BB0610" w:rsidRDefault="00E5706D">
      <w:pPr>
        <w:autoSpaceDE w:val="0"/>
        <w:autoSpaceDN w:val="0"/>
        <w:adjustRightInd w:val="0"/>
        <w:spacing w:before="120"/>
        <w:ind w:left="450" w:hanging="450"/>
        <w:jc w:val="both"/>
        <w:rPr>
          <w:rFonts w:cs="Arial"/>
          <w:sz w:val="22"/>
          <w:szCs w:val="22"/>
        </w:rPr>
      </w:pPr>
      <w:r w:rsidRPr="002A0EE6">
        <w:rPr>
          <w:rFonts w:cs="Arial"/>
          <w:sz w:val="22"/>
          <w:szCs w:val="22"/>
        </w:rPr>
        <w:t>Carlton, A. G., Bhave, P. V., Napelenok, S. L., Edney, E. O., Sarwar, G., Pinder, R. W., Pouliot, G. A., and Houyoux, M.: Model Representation of Secondary Organic Aerosol in CMAQv4.7, Environ. Sci. Technol., 44</w:t>
      </w:r>
      <w:r w:rsidRPr="00990957">
        <w:rPr>
          <w:rFonts w:cs="Arial"/>
          <w:sz w:val="22"/>
          <w:szCs w:val="22"/>
        </w:rPr>
        <w:t>, 8553–8560, 2010.</w:t>
      </w:r>
    </w:p>
    <w:p w:rsidR="00F6191F" w:rsidRPr="002A0EE6" w:rsidRDefault="00E5706D">
      <w:pPr>
        <w:adjustRightInd w:val="0"/>
        <w:snapToGrid w:val="0"/>
        <w:spacing w:before="120"/>
        <w:ind w:left="440" w:hanging="440"/>
        <w:jc w:val="both"/>
        <w:rPr>
          <w:sz w:val="22"/>
          <w:szCs w:val="22"/>
        </w:rPr>
      </w:pPr>
      <w:r w:rsidRPr="002A0EE6">
        <w:rPr>
          <w:sz w:val="22"/>
          <w:szCs w:val="22"/>
        </w:rPr>
        <w:t>Chang, J.S., Binkowski, F.S., Seaman, N.L., McHenry, J.N., Samson, P.J., Stockwell, W.R., Walcek, C.J., Madronich, S., Middleton, P.B., Pleim, J.E., Lansford, H.H.</w:t>
      </w:r>
      <w:r w:rsidRPr="002A0EE6">
        <w:rPr>
          <w:rFonts w:hint="eastAsia"/>
          <w:sz w:val="22"/>
          <w:szCs w:val="22"/>
          <w:lang w:val="en-US" w:eastAsia="zh-CN"/>
        </w:rPr>
        <w:t>:</w:t>
      </w:r>
      <w:r w:rsidRPr="002A0EE6">
        <w:rPr>
          <w:sz w:val="22"/>
          <w:szCs w:val="22"/>
        </w:rPr>
        <w:t xml:space="preserve"> The regional acid deposition model and engineering model. State-of-Science/Technology, Report 4, National Acid Precipitation Assessment Program, Washington, DC, 1989.</w:t>
      </w:r>
    </w:p>
    <w:p w:rsidR="00F6191F" w:rsidRPr="002A0EE6" w:rsidRDefault="00E5706D">
      <w:pPr>
        <w:autoSpaceDE w:val="0"/>
        <w:autoSpaceDN w:val="0"/>
        <w:adjustRightInd w:val="0"/>
        <w:spacing w:before="120"/>
        <w:ind w:left="450" w:hanging="450"/>
        <w:jc w:val="both"/>
        <w:rPr>
          <w:rFonts w:cs="Arial"/>
          <w:sz w:val="22"/>
          <w:szCs w:val="22"/>
        </w:rPr>
      </w:pPr>
      <w:r w:rsidRPr="002A0EE6">
        <w:rPr>
          <w:rFonts w:cs="Arial"/>
          <w:sz w:val="22"/>
          <w:szCs w:val="22"/>
        </w:rPr>
        <w:t xml:space="preserve">Chen, F., and Dudhia, J.: Coupling an advanced land-surface/hydrology model with the Penn State/NCAR MM5 modeling system. Part I: Model description and implementation. </w:t>
      </w:r>
      <w:r w:rsidRPr="002A0EE6">
        <w:rPr>
          <w:rFonts w:cs="Arial"/>
          <w:iCs/>
          <w:sz w:val="22"/>
          <w:szCs w:val="22"/>
        </w:rPr>
        <w:t>Mon. Wea. Rev., 129</w:t>
      </w:r>
      <w:r w:rsidRPr="00990957">
        <w:rPr>
          <w:rFonts w:cs="Arial"/>
          <w:iCs/>
          <w:sz w:val="22"/>
          <w:szCs w:val="22"/>
        </w:rPr>
        <w:t xml:space="preserve">, </w:t>
      </w:r>
      <w:r w:rsidRPr="00BB0610">
        <w:rPr>
          <w:rFonts w:cs="Arial"/>
          <w:sz w:val="22"/>
          <w:szCs w:val="22"/>
        </w:rPr>
        <w:t xml:space="preserve">569–585, 2001. </w:t>
      </w:r>
    </w:p>
    <w:p w:rsidR="00F6191F" w:rsidRPr="002A0EE6" w:rsidRDefault="00E5706D">
      <w:pPr>
        <w:spacing w:before="120"/>
        <w:ind w:left="450" w:hanging="450"/>
        <w:jc w:val="both"/>
        <w:rPr>
          <w:rFonts w:cs="Times New Roman"/>
          <w:color w:val="000000"/>
          <w:sz w:val="22"/>
          <w:szCs w:val="22"/>
        </w:rPr>
      </w:pPr>
      <w:r w:rsidRPr="002A0EE6">
        <w:rPr>
          <w:rStyle w:val="gmail-pbtoclink"/>
          <w:rFonts w:cs="Arial"/>
          <w:color w:val="000000"/>
          <w:sz w:val="22"/>
          <w:szCs w:val="22"/>
        </w:rPr>
        <w:t>Crippa, M., Janssens-Maenhout, G., Dentener, F., Guizzardi, D., Sindelarova, K., Muntean, M., Van Dingenen, R., and Granier, C.: Forty years of improvements in European air quality: regional policy-industry interactions with global impacts, Atmos. Chem. Phys., 16, 3825-3841,</w:t>
      </w:r>
      <w:r w:rsidRPr="002A0EE6">
        <w:rPr>
          <w:rStyle w:val="apple-converted-space"/>
          <w:rFonts w:cs="Arial"/>
          <w:color w:val="000000"/>
          <w:sz w:val="22"/>
          <w:szCs w:val="22"/>
        </w:rPr>
        <w:t> </w:t>
      </w:r>
      <w:hyperlink r:id="rId71" w:history="1">
        <w:r w:rsidRPr="00BB0610">
          <w:rPr>
            <w:rStyle w:val="Hyperlink"/>
            <w:rFonts w:cs="Arial"/>
            <w:sz w:val="22"/>
            <w:szCs w:val="22"/>
          </w:rPr>
          <w:t>https://doi.org/10.5194/acp-16-3825-2016</w:t>
        </w:r>
      </w:hyperlink>
      <w:r w:rsidRPr="00990957">
        <w:rPr>
          <w:rStyle w:val="gmail-pbtoclink"/>
          <w:rFonts w:cs="Arial"/>
          <w:color w:val="000000"/>
          <w:sz w:val="22"/>
          <w:szCs w:val="22"/>
        </w:rPr>
        <w:t>, 2016.</w:t>
      </w:r>
      <w:r w:rsidRPr="00BB0610">
        <w:rPr>
          <w:rStyle w:val="apple-converted-space"/>
          <w:rFonts w:cs="Arial"/>
          <w:color w:val="000000"/>
          <w:sz w:val="22"/>
          <w:szCs w:val="22"/>
        </w:rPr>
        <w:t> </w:t>
      </w:r>
    </w:p>
    <w:p w:rsidR="00F6191F" w:rsidRPr="00BB0610" w:rsidRDefault="00E5706D">
      <w:pPr>
        <w:spacing w:before="120"/>
        <w:ind w:left="450" w:hanging="450"/>
        <w:jc w:val="both"/>
        <w:rPr>
          <w:sz w:val="22"/>
          <w:szCs w:val="22"/>
        </w:rPr>
      </w:pPr>
      <w:r w:rsidRPr="002A0EE6">
        <w:rPr>
          <w:sz w:val="22"/>
          <w:szCs w:val="22"/>
        </w:rPr>
        <w:t>Dabberdt, W. F.</w:t>
      </w:r>
      <w:r w:rsidRPr="002A0EE6">
        <w:rPr>
          <w:rFonts w:hint="eastAsia"/>
          <w:sz w:val="22"/>
          <w:szCs w:val="22"/>
          <w:lang w:val="en-US" w:eastAsia="zh-CN"/>
        </w:rPr>
        <w:t xml:space="preserve"> and </w:t>
      </w:r>
      <w:r w:rsidRPr="002A0EE6">
        <w:rPr>
          <w:sz w:val="22"/>
          <w:szCs w:val="22"/>
        </w:rPr>
        <w:t>Miller, E.</w:t>
      </w:r>
      <w:r w:rsidRPr="002A0EE6">
        <w:rPr>
          <w:rFonts w:hint="eastAsia"/>
          <w:sz w:val="22"/>
          <w:szCs w:val="22"/>
          <w:lang w:val="en-US" w:eastAsia="zh-CN"/>
        </w:rPr>
        <w:t>:</w:t>
      </w:r>
      <w:r w:rsidRPr="002A0EE6">
        <w:rPr>
          <w:sz w:val="22"/>
          <w:szCs w:val="22"/>
        </w:rPr>
        <w:t xml:space="preserve"> Uncertainty, ensembles and air quality dispersion modeling: applications and challenges, Atmos. Environ., 34</w:t>
      </w:r>
      <w:r w:rsidRPr="00990957">
        <w:rPr>
          <w:sz w:val="22"/>
          <w:szCs w:val="22"/>
        </w:rPr>
        <w:t>, 4667-4673, 2000.</w:t>
      </w:r>
    </w:p>
    <w:p w:rsidR="00F6191F" w:rsidRPr="002A0EE6" w:rsidRDefault="00E5706D" w:rsidP="002A0EE6">
      <w:pPr>
        <w:spacing w:before="120"/>
        <w:ind w:left="450" w:hanging="450"/>
        <w:jc w:val="both"/>
        <w:rPr>
          <w:sz w:val="22"/>
          <w:szCs w:val="22"/>
        </w:rPr>
      </w:pPr>
      <w:r w:rsidRPr="002A0EE6">
        <w:rPr>
          <w:sz w:val="22"/>
          <w:szCs w:val="22"/>
        </w:rPr>
        <w:t>Donahue, N. M., Robinson, A. L., Stanier, C. O., and Pandis, S. N.: Coupled partitioning, dilution, and chemical aging of semivolatile organics, Environ. Sci. Technol., 40, 2635-2643, Doi 10.1021/Es052297c, 2006.</w:t>
      </w:r>
    </w:p>
    <w:p w:rsidR="00F6191F" w:rsidRPr="002A0EE6" w:rsidRDefault="00E5706D">
      <w:pPr>
        <w:spacing w:before="120"/>
        <w:ind w:left="446" w:hanging="446"/>
        <w:jc w:val="both"/>
        <w:rPr>
          <w:rStyle w:val="pbtoclink"/>
          <w:rFonts w:cs="Times New Roman"/>
          <w:sz w:val="22"/>
          <w:szCs w:val="22"/>
        </w:rPr>
      </w:pPr>
      <w:r w:rsidRPr="002A0EE6">
        <w:rPr>
          <w:rStyle w:val="pbtoclink"/>
          <w:rFonts w:cs="Times New Roman"/>
          <w:sz w:val="22"/>
          <w:szCs w:val="22"/>
        </w:rPr>
        <w:t>Emmons, L. K., Walters, S., Hess, P. G., Lamarque, J.-F., Pfister, G. G., Fillmore, D., Granier, C., Guenther, A., Kinnison, D., Laepple, T., Orlando, J., Tie, X., Tyndall, G., Wiedinmyer, C., Baughcum, S. L., and Kloster, S.: Description and evaluation of the Model for Ozone and Related chemical Tracers, version 4 (MOZART-4), Geosci. Model Dev., 3, 43–67, https://doi.org/10.5194/gmd-3-43-2010, 2010.</w:t>
      </w:r>
    </w:p>
    <w:p w:rsidR="00F6191F" w:rsidRPr="002A0EE6" w:rsidRDefault="00E5706D">
      <w:pPr>
        <w:spacing w:before="120"/>
        <w:ind w:left="450" w:hanging="450"/>
        <w:jc w:val="both"/>
        <w:rPr>
          <w:rFonts w:cs="Arial"/>
          <w:sz w:val="22"/>
          <w:szCs w:val="22"/>
          <w:lang w:eastAsia="zh-CN"/>
        </w:rPr>
      </w:pPr>
      <w:r w:rsidRPr="00990957">
        <w:rPr>
          <w:rFonts w:cs="Arial"/>
          <w:sz w:val="22"/>
          <w:szCs w:val="22"/>
        </w:rPr>
        <w:t>Fast, J. D., Gustafson, W. I., Easter, R.C., Zaveri, R.A., Barnard, J.C., Chapman, E.G., Grell, G.A. and Peckham, S. E.</w:t>
      </w:r>
      <w:r w:rsidRPr="00BB0610">
        <w:rPr>
          <w:rFonts w:cs="Arial" w:hint="eastAsia"/>
          <w:sz w:val="22"/>
          <w:szCs w:val="22"/>
          <w:lang w:val="en-US" w:eastAsia="zh-CN"/>
        </w:rPr>
        <w:t>:</w:t>
      </w:r>
      <w:r w:rsidRPr="002A0EE6">
        <w:rPr>
          <w:rFonts w:cs="Arial"/>
          <w:sz w:val="22"/>
          <w:szCs w:val="22"/>
        </w:rPr>
        <w:t xml:space="preserve"> Evolution of ozone, particulates, and aerosol direct radiative forcing in the vicinity of Houston using a fully coupled meteorology-chemistry-aerosol model, J. Geophys. Res., 111</w:t>
      </w:r>
      <w:r w:rsidRPr="00990957">
        <w:rPr>
          <w:rFonts w:cs="Arial"/>
          <w:sz w:val="22"/>
          <w:szCs w:val="22"/>
        </w:rPr>
        <w:t>, D21305,</w:t>
      </w:r>
      <w:r w:rsidRPr="00BB0610">
        <w:rPr>
          <w:rFonts w:cs="Arial" w:hint="eastAsia"/>
          <w:sz w:val="22"/>
          <w:szCs w:val="22"/>
        </w:rPr>
        <w:t xml:space="preserve"> </w:t>
      </w:r>
      <w:r w:rsidRPr="002A0EE6">
        <w:rPr>
          <w:rFonts w:cs="Arial"/>
          <w:sz w:val="22"/>
          <w:szCs w:val="22"/>
        </w:rPr>
        <w:t>doi:10.1029/2005JD006721, 2006.</w:t>
      </w:r>
    </w:p>
    <w:p w:rsidR="00363A97" w:rsidRPr="00BB0610" w:rsidRDefault="00363A97">
      <w:pPr>
        <w:spacing w:before="120"/>
        <w:ind w:left="450" w:hanging="450"/>
        <w:jc w:val="both"/>
        <w:rPr>
          <w:rFonts w:cs="Arial"/>
          <w:sz w:val="22"/>
          <w:szCs w:val="22"/>
          <w:lang w:eastAsia="zh-CN"/>
        </w:rPr>
      </w:pPr>
    </w:p>
    <w:p w:rsidR="00363A97" w:rsidRPr="002A0EE6" w:rsidRDefault="00363A97" w:rsidP="002A0EE6">
      <w:pPr>
        <w:autoSpaceDE w:val="0"/>
        <w:autoSpaceDN w:val="0"/>
        <w:adjustRightInd w:val="0"/>
        <w:spacing w:before="120"/>
        <w:ind w:left="450" w:hanging="450"/>
        <w:jc w:val="both"/>
        <w:rPr>
          <w:rFonts w:cs="Arial"/>
          <w:sz w:val="22"/>
          <w:szCs w:val="22"/>
          <w:lang w:eastAsia="zh-CN"/>
        </w:rPr>
      </w:pPr>
      <w:r w:rsidRPr="00BB0610">
        <w:rPr>
          <w:rFonts w:cs="Arial"/>
          <w:sz w:val="22"/>
          <w:szCs w:val="22"/>
          <w:lang w:eastAsia="zh-CN"/>
        </w:rPr>
        <w:lastRenderedPageBreak/>
        <w:t>Flemming, J., Huijnen, V., Arteta, J., Bechtold, P., Beljaars, A., Blechschmidt, A.-M., Diamantakis, M., Engelen, R. J., Gaudel, A., Inness, A., Jones, L., Josse, B., Katragkou, E., Marecal, V., Peuch, V.-H., Richter, A., Schultz, M. G., Stein, O., and Tsikerdekis, A.: Tropospheric chemistry in the Integrated Fore-casting System of ECMWF, Geosci. Mod</w:t>
      </w:r>
      <w:r w:rsidRPr="002A0EE6">
        <w:rPr>
          <w:rFonts w:cs="Arial"/>
          <w:sz w:val="22"/>
          <w:szCs w:val="22"/>
          <w:lang w:eastAsia="zh-CN"/>
        </w:rPr>
        <w:t>el Dev., 8, 975–1003,</w:t>
      </w:r>
      <w:r w:rsidRPr="002A0EE6">
        <w:rPr>
          <w:rFonts w:cs="Arial" w:hint="eastAsia"/>
          <w:sz w:val="22"/>
          <w:szCs w:val="22"/>
          <w:lang w:eastAsia="zh-CN"/>
        </w:rPr>
        <w:t xml:space="preserve"> </w:t>
      </w:r>
      <w:r w:rsidRPr="002A0EE6">
        <w:rPr>
          <w:rFonts w:cs="Arial"/>
          <w:sz w:val="22"/>
          <w:szCs w:val="22"/>
          <w:lang w:eastAsia="zh-CN"/>
        </w:rPr>
        <w:t>https://doi.org/10.5194/gmd-8-975-2015, 2015</w:t>
      </w:r>
      <w:r w:rsidR="00F11C43" w:rsidRPr="002A0EE6">
        <w:rPr>
          <w:rFonts w:cs="Arial" w:hint="eastAsia"/>
          <w:sz w:val="22"/>
          <w:szCs w:val="22"/>
          <w:lang w:eastAsia="zh-CN"/>
        </w:rPr>
        <w:t>.</w:t>
      </w:r>
    </w:p>
    <w:p w:rsidR="00363A97" w:rsidRPr="00BB0610" w:rsidRDefault="00E5706D" w:rsidP="00F11C43">
      <w:pPr>
        <w:autoSpaceDE w:val="0"/>
        <w:autoSpaceDN w:val="0"/>
        <w:adjustRightInd w:val="0"/>
        <w:spacing w:before="120"/>
        <w:ind w:left="450" w:hanging="450"/>
        <w:jc w:val="both"/>
        <w:rPr>
          <w:rFonts w:cs="Arial"/>
          <w:sz w:val="22"/>
          <w:szCs w:val="22"/>
          <w:lang w:eastAsia="zh-CN"/>
        </w:rPr>
      </w:pPr>
      <w:r w:rsidRPr="002A0EE6">
        <w:rPr>
          <w:rFonts w:cs="Arial"/>
          <w:sz w:val="22"/>
          <w:szCs w:val="22"/>
        </w:rPr>
        <w:t>Foley, K. M., Roselle, S. J., Appel, K. W., Bhave, P. V., Pleim, J. E., Otte, T. L., Mathur, R., Sarwar, G., Young, J. O., Gilliam, R. C., Nolte, C. G., Kelly, J. T., Gilliland, A. B., and Bash, J. O.: Incremental testing of the Community Multiscale Air Quality (CMAQ) modeling system version 4.7, Geosci. Model Dev.</w:t>
      </w:r>
      <w:r w:rsidRPr="00990957">
        <w:rPr>
          <w:rFonts w:cs="Arial"/>
          <w:sz w:val="22"/>
          <w:szCs w:val="22"/>
        </w:rPr>
        <w:t>, 3, 205-226, doi:10.5194/gmd-3-205-2010, 2</w:t>
      </w:r>
      <w:r w:rsidRPr="00BB0610">
        <w:rPr>
          <w:rFonts w:cs="Arial"/>
          <w:sz w:val="22"/>
          <w:szCs w:val="22"/>
        </w:rPr>
        <w:t>010.</w:t>
      </w:r>
    </w:p>
    <w:p w:rsidR="00F6191F" w:rsidRPr="00990957" w:rsidRDefault="00E5706D">
      <w:pPr>
        <w:autoSpaceDE w:val="0"/>
        <w:autoSpaceDN w:val="0"/>
        <w:adjustRightInd w:val="0"/>
        <w:snapToGrid w:val="0"/>
        <w:spacing w:before="120"/>
        <w:ind w:left="440" w:hanging="440"/>
        <w:jc w:val="both"/>
        <w:rPr>
          <w:sz w:val="22"/>
          <w:szCs w:val="22"/>
        </w:rPr>
      </w:pPr>
      <w:r w:rsidRPr="002A0EE6">
        <w:rPr>
          <w:sz w:val="22"/>
          <w:szCs w:val="22"/>
        </w:rPr>
        <w:t>Fountoukis, C.</w:t>
      </w:r>
      <w:r w:rsidRPr="002A0EE6">
        <w:rPr>
          <w:rFonts w:hint="eastAsia"/>
          <w:sz w:val="22"/>
          <w:szCs w:val="22"/>
          <w:lang w:eastAsia="zh-CN"/>
        </w:rPr>
        <w:t xml:space="preserve"> </w:t>
      </w:r>
      <w:proofErr w:type="gramStart"/>
      <w:r w:rsidRPr="002A0EE6">
        <w:rPr>
          <w:rFonts w:hint="eastAsia"/>
          <w:sz w:val="22"/>
          <w:szCs w:val="22"/>
          <w:lang w:eastAsia="zh-CN"/>
        </w:rPr>
        <w:t xml:space="preserve">and </w:t>
      </w:r>
      <w:r w:rsidRPr="002A0EE6">
        <w:rPr>
          <w:sz w:val="22"/>
          <w:szCs w:val="22"/>
        </w:rPr>
        <w:t xml:space="preserve"> Nenes</w:t>
      </w:r>
      <w:proofErr w:type="gramEnd"/>
      <w:r w:rsidRPr="002A0EE6">
        <w:rPr>
          <w:sz w:val="22"/>
          <w:szCs w:val="22"/>
        </w:rPr>
        <w:t>, A., ISORROPIA II: A Computationally Efficient Aerosol Thermodynamic Equilibrium Model for K</w:t>
      </w:r>
      <w:r w:rsidRPr="002A0EE6">
        <w:rPr>
          <w:sz w:val="22"/>
          <w:szCs w:val="22"/>
          <w:vertAlign w:val="superscript"/>
        </w:rPr>
        <w:t>+</w:t>
      </w:r>
      <w:r w:rsidRPr="002A0EE6">
        <w:rPr>
          <w:sz w:val="22"/>
          <w:szCs w:val="22"/>
        </w:rPr>
        <w:t>, Ca</w:t>
      </w:r>
      <w:r w:rsidRPr="002A0EE6">
        <w:rPr>
          <w:sz w:val="22"/>
          <w:szCs w:val="22"/>
          <w:vertAlign w:val="superscript"/>
        </w:rPr>
        <w:t>2+</w:t>
      </w:r>
      <w:r w:rsidRPr="002A0EE6">
        <w:rPr>
          <w:sz w:val="22"/>
          <w:szCs w:val="22"/>
        </w:rPr>
        <w:t>, Mg</w:t>
      </w:r>
      <w:r w:rsidRPr="002A0EE6">
        <w:rPr>
          <w:sz w:val="22"/>
          <w:szCs w:val="22"/>
          <w:vertAlign w:val="superscript"/>
        </w:rPr>
        <w:t>2+</w:t>
      </w:r>
      <w:r w:rsidRPr="002A0EE6">
        <w:rPr>
          <w:sz w:val="22"/>
          <w:szCs w:val="22"/>
        </w:rPr>
        <w:t>, NH</w:t>
      </w:r>
      <w:r w:rsidRPr="002A0EE6">
        <w:rPr>
          <w:sz w:val="22"/>
          <w:szCs w:val="22"/>
          <w:vertAlign w:val="subscript"/>
        </w:rPr>
        <w:t>4</w:t>
      </w:r>
      <w:r w:rsidRPr="002A0EE6">
        <w:rPr>
          <w:sz w:val="22"/>
          <w:szCs w:val="22"/>
          <w:vertAlign w:val="superscript"/>
        </w:rPr>
        <w:t>+</w:t>
      </w:r>
      <w:r w:rsidRPr="002A0EE6">
        <w:rPr>
          <w:sz w:val="22"/>
          <w:szCs w:val="22"/>
        </w:rPr>
        <w:t>, Na</w:t>
      </w:r>
      <w:r w:rsidRPr="002A0EE6">
        <w:rPr>
          <w:sz w:val="22"/>
          <w:szCs w:val="22"/>
          <w:vertAlign w:val="superscript"/>
        </w:rPr>
        <w:t>+</w:t>
      </w:r>
      <w:r w:rsidRPr="002A0EE6">
        <w:rPr>
          <w:sz w:val="22"/>
          <w:szCs w:val="22"/>
        </w:rPr>
        <w:t>, SO</w:t>
      </w:r>
      <w:r w:rsidRPr="002A0EE6">
        <w:rPr>
          <w:sz w:val="22"/>
          <w:szCs w:val="22"/>
          <w:vertAlign w:val="subscript"/>
        </w:rPr>
        <w:t>4</w:t>
      </w:r>
      <w:r w:rsidRPr="002A0EE6">
        <w:rPr>
          <w:sz w:val="22"/>
          <w:szCs w:val="22"/>
          <w:vertAlign w:val="superscript"/>
        </w:rPr>
        <w:t>2-</w:t>
      </w:r>
      <w:r w:rsidRPr="002A0EE6">
        <w:rPr>
          <w:sz w:val="22"/>
          <w:szCs w:val="22"/>
        </w:rPr>
        <w:t>, NO</w:t>
      </w:r>
      <w:r w:rsidRPr="002A0EE6">
        <w:rPr>
          <w:sz w:val="22"/>
          <w:szCs w:val="22"/>
          <w:vertAlign w:val="subscript"/>
        </w:rPr>
        <w:t>3</w:t>
      </w:r>
      <w:r w:rsidRPr="002A0EE6">
        <w:rPr>
          <w:sz w:val="22"/>
          <w:szCs w:val="22"/>
          <w:vertAlign w:val="superscript"/>
        </w:rPr>
        <w:t>-</w:t>
      </w:r>
      <w:r w:rsidRPr="002A0EE6">
        <w:rPr>
          <w:sz w:val="22"/>
          <w:szCs w:val="22"/>
        </w:rPr>
        <w:t>, Cl</w:t>
      </w:r>
      <w:r w:rsidRPr="002A0EE6">
        <w:rPr>
          <w:sz w:val="22"/>
          <w:szCs w:val="22"/>
          <w:vertAlign w:val="superscript"/>
        </w:rPr>
        <w:t>-</w:t>
      </w:r>
      <w:r w:rsidRPr="002A0EE6">
        <w:rPr>
          <w:sz w:val="22"/>
          <w:szCs w:val="22"/>
        </w:rPr>
        <w:t>, H</w:t>
      </w:r>
      <w:r w:rsidRPr="002A0EE6">
        <w:rPr>
          <w:sz w:val="22"/>
          <w:szCs w:val="22"/>
          <w:vertAlign w:val="subscript"/>
        </w:rPr>
        <w:t>2</w:t>
      </w:r>
      <w:r w:rsidRPr="002A0EE6">
        <w:rPr>
          <w:sz w:val="22"/>
          <w:szCs w:val="22"/>
        </w:rPr>
        <w:t>O Aerosols. Atmos. Chem. Phys., 7</w:t>
      </w:r>
      <w:r w:rsidRPr="00990957">
        <w:rPr>
          <w:sz w:val="22"/>
          <w:szCs w:val="22"/>
        </w:rPr>
        <w:t>, 4639-4659, 2007.</w:t>
      </w:r>
    </w:p>
    <w:p w:rsidR="00F6191F" w:rsidRPr="00990957" w:rsidRDefault="00E5706D">
      <w:pPr>
        <w:pStyle w:val="p1"/>
        <w:spacing w:before="120"/>
        <w:ind w:left="450" w:hanging="450"/>
        <w:jc w:val="both"/>
        <w:rPr>
          <w:rFonts w:asciiTheme="minorHAnsi" w:hAnsiTheme="minorHAnsi" w:cstheme="minorBidi"/>
          <w:sz w:val="22"/>
          <w:szCs w:val="22"/>
          <w:lang w:eastAsia="en-US"/>
        </w:rPr>
      </w:pPr>
      <w:r w:rsidRPr="00BB0610">
        <w:rPr>
          <w:rFonts w:asciiTheme="minorHAnsi" w:hAnsiTheme="minorHAnsi" w:cstheme="minorBidi"/>
          <w:sz w:val="22"/>
          <w:szCs w:val="22"/>
          <w:lang w:eastAsia="en-US"/>
        </w:rPr>
        <w:t xml:space="preserve">Galmarini, S., Kioutsioukis, I., and Solazzo, E.: E pluribus unum*: ensemble air quality predictions, </w:t>
      </w:r>
      <w:r w:rsidRPr="002A0EE6">
        <w:rPr>
          <w:rFonts w:asciiTheme="minorHAnsi" w:hAnsiTheme="minorHAnsi" w:cstheme="minorBidi"/>
          <w:sz w:val="22"/>
          <w:szCs w:val="22"/>
          <w:lang w:eastAsia="en-US"/>
        </w:rPr>
        <w:t>Atmos. Chem. Phys., 13</w:t>
      </w:r>
      <w:r w:rsidRPr="00990957">
        <w:rPr>
          <w:rFonts w:asciiTheme="minorHAnsi" w:hAnsiTheme="minorHAnsi" w:cstheme="minorBidi"/>
          <w:sz w:val="22"/>
          <w:szCs w:val="22"/>
          <w:lang w:eastAsia="en-US"/>
        </w:rPr>
        <w:t>, 7153–7182, doi:10.5194/acp-13-7153-2013, 2013.</w:t>
      </w:r>
    </w:p>
    <w:p w:rsidR="00F6191F" w:rsidRPr="00BB0610" w:rsidRDefault="00E5706D">
      <w:pPr>
        <w:spacing w:before="120"/>
        <w:ind w:left="446" w:hanging="446"/>
        <w:jc w:val="both"/>
        <w:rPr>
          <w:rFonts w:eastAsia="Times New Roman" w:cs="Times New Roman"/>
          <w:sz w:val="22"/>
          <w:szCs w:val="22"/>
          <w:lang w:eastAsia="en-GB"/>
        </w:rPr>
      </w:pPr>
      <w:r w:rsidRPr="00BB0610">
        <w:rPr>
          <w:rFonts w:eastAsia="Times New Roman" w:cs="Times New Roman"/>
          <w:sz w:val="22"/>
          <w:szCs w:val="22"/>
          <w:lang w:eastAsia="en-GB"/>
        </w:rPr>
        <w:t xml:space="preserve">Ginoux, P., Chin, M., Tegen, I., Prospero, J. M., Holben, B., Dubovik, O., and </w:t>
      </w:r>
      <w:r w:rsidR="006269E8" w:rsidRPr="00BB0610">
        <w:rPr>
          <w:rFonts w:cs="Times New Roman" w:hint="eastAsia"/>
          <w:sz w:val="22"/>
          <w:szCs w:val="22"/>
          <w:lang w:eastAsia="zh-CN"/>
        </w:rPr>
        <w:t xml:space="preserve">Lin, </w:t>
      </w:r>
      <w:r w:rsidRPr="002A0EE6">
        <w:rPr>
          <w:rFonts w:eastAsia="Times New Roman" w:cs="Times New Roman"/>
          <w:sz w:val="22"/>
          <w:szCs w:val="22"/>
          <w:lang w:eastAsia="en-GB"/>
        </w:rPr>
        <w:t>S.-J.</w:t>
      </w:r>
      <w:r w:rsidR="006A21AD">
        <w:rPr>
          <w:rFonts w:eastAsia="Times New Roman" w:cs="Times New Roman"/>
          <w:sz w:val="22"/>
          <w:szCs w:val="22"/>
          <w:lang w:eastAsia="en-GB"/>
        </w:rPr>
        <w:t xml:space="preserve">: Sources and </w:t>
      </w:r>
      <w:r w:rsidRPr="002A0EE6">
        <w:rPr>
          <w:rFonts w:eastAsia="Times New Roman" w:cs="Times New Roman"/>
          <w:sz w:val="22"/>
          <w:szCs w:val="22"/>
          <w:lang w:eastAsia="en-GB"/>
        </w:rPr>
        <w:t>distributions of dust aerosols simulated with the GOCART model, J. Geophys. Res., 106</w:t>
      </w:r>
      <w:r w:rsidRPr="00990957">
        <w:rPr>
          <w:rFonts w:eastAsia="Times New Roman" w:cs="Times New Roman"/>
          <w:sz w:val="22"/>
          <w:szCs w:val="22"/>
          <w:lang w:eastAsia="en-GB"/>
        </w:rPr>
        <w:t>(D17), 20255–20273, 2001.</w:t>
      </w:r>
    </w:p>
    <w:p w:rsidR="00F6191F" w:rsidRPr="00BB0610" w:rsidRDefault="00F75F4E">
      <w:pPr>
        <w:spacing w:before="120"/>
        <w:ind w:left="450" w:hanging="450"/>
        <w:jc w:val="both"/>
        <w:rPr>
          <w:rFonts w:cs="Times New Roman"/>
          <w:color w:val="000000"/>
          <w:sz w:val="22"/>
          <w:szCs w:val="22"/>
        </w:rPr>
      </w:pPr>
      <w:r w:rsidRPr="002A0EE6">
        <w:rPr>
          <w:rFonts w:cs="Arial"/>
          <w:color w:val="000000"/>
          <w:sz w:val="22"/>
          <w:szCs w:val="22"/>
        </w:rPr>
        <w:t xml:space="preserve">Granier, C, Bessagnet, B., Bond, T., D'Angiola, A., Denier van der Gon, H., Frost, G.J., Heil, A., Kaiser, J.W., Kinne, S., Klimont, Z., Kloster, S., Lamarque, J.-F., Liousse, C., Masui, T., Meleux, F., Mieville, A., Ohara, T., Raut, J.-C., Riahi, K., Schultz, M.G., Smith, S.J., Thompson, A., van Aardenne, J., van der Werf, G.R., </w:t>
      </w:r>
      <w:r w:rsidRPr="002A0EE6">
        <w:rPr>
          <w:rFonts w:cs="Arial" w:hint="eastAsia"/>
          <w:color w:val="000000"/>
          <w:sz w:val="22"/>
          <w:szCs w:val="22"/>
          <w:lang w:eastAsia="zh-CN"/>
        </w:rPr>
        <w:t xml:space="preserve">and </w:t>
      </w:r>
      <w:r w:rsidRPr="002A0EE6">
        <w:rPr>
          <w:rFonts w:cs="Arial"/>
          <w:color w:val="000000"/>
          <w:sz w:val="22"/>
          <w:szCs w:val="22"/>
        </w:rPr>
        <w:t>van Vuuren, D.P.</w:t>
      </w:r>
      <w:r w:rsidRPr="002A0EE6">
        <w:rPr>
          <w:rFonts w:cs="Arial" w:hint="eastAsia"/>
          <w:color w:val="000000"/>
          <w:sz w:val="22"/>
          <w:szCs w:val="22"/>
          <w:lang w:eastAsia="zh-CN"/>
        </w:rPr>
        <w:t>:</w:t>
      </w:r>
      <w:r w:rsidR="00E5706D" w:rsidRPr="002A0EE6">
        <w:rPr>
          <w:rFonts w:cs="Arial"/>
          <w:color w:val="000000"/>
          <w:sz w:val="22"/>
          <w:szCs w:val="22"/>
        </w:rPr>
        <w:t>, Evolution of anthropogenic and biomass burning emissions at global and regional scales during the 1980-2010 period, Climatic</w:t>
      </w:r>
      <w:r w:rsidR="00E5706D" w:rsidRPr="002A0EE6">
        <w:rPr>
          <w:rStyle w:val="apple-converted-space"/>
          <w:rFonts w:cs="Arial"/>
          <w:color w:val="000000"/>
          <w:sz w:val="22"/>
          <w:szCs w:val="22"/>
        </w:rPr>
        <w:t> </w:t>
      </w:r>
      <w:r w:rsidR="00E5706D" w:rsidRPr="002A0EE6">
        <w:rPr>
          <w:rFonts w:cs="Arial"/>
          <w:color w:val="000000"/>
          <w:sz w:val="22"/>
          <w:szCs w:val="22"/>
        </w:rPr>
        <w:t>Change,</w:t>
      </w:r>
      <w:r w:rsidR="00E5706D" w:rsidRPr="002A0EE6">
        <w:rPr>
          <w:rStyle w:val="apple-converted-space"/>
          <w:rFonts w:cs="Arial"/>
          <w:color w:val="000000"/>
          <w:sz w:val="22"/>
          <w:szCs w:val="22"/>
        </w:rPr>
        <w:t> </w:t>
      </w:r>
      <w:r w:rsidR="00E5706D" w:rsidRPr="00990957">
        <w:rPr>
          <w:rFonts w:cs="Arial"/>
          <w:color w:val="101010"/>
          <w:sz w:val="22"/>
          <w:szCs w:val="22"/>
        </w:rPr>
        <w:t>doi 10.1007/s10584-011-0154-1,</w:t>
      </w:r>
      <w:r w:rsidR="00E5706D" w:rsidRPr="00990957">
        <w:rPr>
          <w:rStyle w:val="apple-converted-space"/>
          <w:rFonts w:cs="Arial"/>
          <w:color w:val="101010"/>
          <w:sz w:val="22"/>
          <w:szCs w:val="22"/>
        </w:rPr>
        <w:t> </w:t>
      </w:r>
      <w:r w:rsidR="00E5706D" w:rsidRPr="00BB0610">
        <w:rPr>
          <w:rFonts w:cs="Arial"/>
          <w:color w:val="000000"/>
          <w:sz w:val="22"/>
          <w:szCs w:val="22"/>
        </w:rPr>
        <w:t>2011.</w:t>
      </w:r>
    </w:p>
    <w:p w:rsidR="00F6191F" w:rsidRPr="00990957" w:rsidRDefault="00E5706D">
      <w:pPr>
        <w:autoSpaceDE w:val="0"/>
        <w:autoSpaceDN w:val="0"/>
        <w:adjustRightInd w:val="0"/>
        <w:snapToGrid w:val="0"/>
        <w:spacing w:before="120"/>
        <w:ind w:left="440" w:hanging="440"/>
        <w:jc w:val="both"/>
        <w:rPr>
          <w:sz w:val="22"/>
          <w:szCs w:val="22"/>
        </w:rPr>
      </w:pPr>
      <w:r w:rsidRPr="00BB0610">
        <w:rPr>
          <w:sz w:val="22"/>
          <w:szCs w:val="22"/>
        </w:rPr>
        <w:t xml:space="preserve">Grell, G.A., Peckham, S.E., Schmitz, R., McKeen, S.A., Frost, G., Skamarock, W.C. Eder, B., Fully coupled 'online' chemistry in the WRF model. </w:t>
      </w:r>
      <w:r w:rsidRPr="002A0EE6">
        <w:rPr>
          <w:sz w:val="22"/>
          <w:szCs w:val="22"/>
        </w:rPr>
        <w:t>Atmos. Environ., 39</w:t>
      </w:r>
      <w:r w:rsidRPr="00990957">
        <w:rPr>
          <w:sz w:val="22"/>
          <w:szCs w:val="22"/>
        </w:rPr>
        <w:t>, 6957-6976, 2005.</w:t>
      </w:r>
    </w:p>
    <w:p w:rsidR="00F6191F" w:rsidRPr="00BB0610" w:rsidRDefault="00E5706D">
      <w:pPr>
        <w:autoSpaceDE w:val="0"/>
        <w:autoSpaceDN w:val="0"/>
        <w:adjustRightInd w:val="0"/>
        <w:spacing w:before="120"/>
        <w:ind w:left="450" w:hanging="450"/>
        <w:jc w:val="both"/>
        <w:rPr>
          <w:rFonts w:cs="Arial"/>
          <w:sz w:val="22"/>
          <w:szCs w:val="22"/>
        </w:rPr>
      </w:pPr>
      <w:r w:rsidRPr="00BB0610">
        <w:rPr>
          <w:rFonts w:cs="Arial"/>
          <w:sz w:val="22"/>
          <w:szCs w:val="22"/>
        </w:rPr>
        <w:t xml:space="preserve">Guenther, A. B., Jiang, X., Heald, C. L., Sakulyanontvittaya, T., Duhl, T., Emmons, L. K., and Wang, X.: The Model of Emissions of Gases and Aerosols from Nature version 2.1 (MEGAN2.1): an extended and updated framework for modeling biogenic emissions, </w:t>
      </w:r>
      <w:r w:rsidRPr="002A0EE6">
        <w:rPr>
          <w:rFonts w:cs="Arial"/>
          <w:sz w:val="22"/>
          <w:szCs w:val="22"/>
        </w:rPr>
        <w:t>Geosci. Model Dev., 5</w:t>
      </w:r>
      <w:r w:rsidRPr="00990957">
        <w:rPr>
          <w:rFonts w:cs="Arial"/>
          <w:sz w:val="22"/>
          <w:szCs w:val="22"/>
        </w:rPr>
        <w:t xml:space="preserve">, 1471-1492, doi:10.5194/gmd-5-1471-2012, 2012. </w:t>
      </w:r>
    </w:p>
    <w:p w:rsidR="00F6191F" w:rsidRPr="00990957" w:rsidRDefault="00E5706D">
      <w:pPr>
        <w:spacing w:before="120"/>
        <w:ind w:left="450" w:hanging="450"/>
        <w:jc w:val="both"/>
        <w:rPr>
          <w:sz w:val="22"/>
          <w:szCs w:val="22"/>
        </w:rPr>
      </w:pPr>
      <w:r w:rsidRPr="002A0EE6">
        <w:rPr>
          <w:color w:val="000000"/>
          <w:sz w:val="22"/>
          <w:szCs w:val="22"/>
        </w:rPr>
        <w:t xml:space="preserve">Guenther, A., Karl, T., Harley, P., Wiedinmyer, C., Palmer, P. I., </w:t>
      </w:r>
      <w:r w:rsidRPr="002A0EE6">
        <w:rPr>
          <w:sz w:val="22"/>
          <w:szCs w:val="22"/>
        </w:rPr>
        <w:t>and Geron, C.: Estimates of global terrestrial isoprene emissions using MEGAN (Model of Emissions of Gases and Aerosols from Nature), Atmos. Chem. Phys., 6,</w:t>
      </w:r>
      <w:r w:rsidRPr="00990957">
        <w:rPr>
          <w:sz w:val="22"/>
          <w:szCs w:val="22"/>
        </w:rPr>
        <w:t xml:space="preserve"> 3181–3210, doi:10.5194/acp-6-3181-2006, 2006</w:t>
      </w:r>
    </w:p>
    <w:p w:rsidR="00F6191F" w:rsidRPr="00990957" w:rsidRDefault="00E5706D">
      <w:pPr>
        <w:autoSpaceDE w:val="0"/>
        <w:autoSpaceDN w:val="0"/>
        <w:adjustRightInd w:val="0"/>
        <w:snapToGrid w:val="0"/>
        <w:spacing w:before="120"/>
        <w:ind w:left="440" w:hanging="440"/>
        <w:jc w:val="both"/>
        <w:rPr>
          <w:sz w:val="22"/>
          <w:szCs w:val="22"/>
        </w:rPr>
      </w:pPr>
      <w:r w:rsidRPr="00BB0610">
        <w:rPr>
          <w:sz w:val="22"/>
          <w:szCs w:val="22"/>
        </w:rPr>
        <w:t xml:space="preserve">Guenther, A., Zimmerman, P., </w:t>
      </w:r>
      <w:r w:rsidR="00B108B1" w:rsidRPr="002A0EE6">
        <w:rPr>
          <w:rFonts w:hint="eastAsia"/>
          <w:sz w:val="22"/>
          <w:szCs w:val="22"/>
          <w:lang w:eastAsia="zh-CN"/>
        </w:rPr>
        <w:t xml:space="preserve">and </w:t>
      </w:r>
      <w:r w:rsidRPr="002A0EE6">
        <w:rPr>
          <w:sz w:val="22"/>
          <w:szCs w:val="22"/>
        </w:rPr>
        <w:t>Wildermuth, M.</w:t>
      </w:r>
      <w:r w:rsidR="00B108B1" w:rsidRPr="002A0EE6">
        <w:rPr>
          <w:rFonts w:hint="eastAsia"/>
          <w:sz w:val="22"/>
          <w:szCs w:val="22"/>
          <w:lang w:eastAsia="zh-CN"/>
        </w:rPr>
        <w:t>:</w:t>
      </w:r>
      <w:r w:rsidRPr="002A0EE6">
        <w:rPr>
          <w:sz w:val="22"/>
          <w:szCs w:val="22"/>
        </w:rPr>
        <w:t xml:space="preserve"> Natural volatile organic compound emission rate estimates for US woodland landscapes. Atmos. Environ., 28,</w:t>
      </w:r>
      <w:r w:rsidRPr="00990957">
        <w:rPr>
          <w:sz w:val="22"/>
          <w:szCs w:val="22"/>
        </w:rPr>
        <w:t xml:space="preserve"> 1197-1210, 1994.</w:t>
      </w:r>
    </w:p>
    <w:p w:rsidR="00F6191F" w:rsidRPr="00990957" w:rsidRDefault="00E5706D">
      <w:pPr>
        <w:autoSpaceDE w:val="0"/>
        <w:autoSpaceDN w:val="0"/>
        <w:adjustRightInd w:val="0"/>
        <w:spacing w:before="120"/>
        <w:ind w:left="450" w:hanging="450"/>
        <w:jc w:val="both"/>
        <w:rPr>
          <w:rFonts w:cs="Arial"/>
          <w:sz w:val="22"/>
          <w:szCs w:val="22"/>
        </w:rPr>
      </w:pPr>
      <w:r w:rsidRPr="00BB0610">
        <w:rPr>
          <w:rFonts w:cs="Arial"/>
          <w:sz w:val="22"/>
          <w:szCs w:val="22"/>
        </w:rPr>
        <w:t>Hong, S.-Y., Noh, Y., and Dudhia, J.: A new vertical diffusion package with an explicit tre</w:t>
      </w:r>
      <w:r w:rsidR="006A21AD">
        <w:rPr>
          <w:rFonts w:cs="Arial"/>
          <w:sz w:val="22"/>
          <w:szCs w:val="22"/>
        </w:rPr>
        <w:t>atment of entrainment processes,</w:t>
      </w:r>
      <w:r w:rsidRPr="00BB0610">
        <w:rPr>
          <w:rFonts w:cs="Arial"/>
          <w:sz w:val="22"/>
          <w:szCs w:val="22"/>
        </w:rPr>
        <w:t> </w:t>
      </w:r>
      <w:r w:rsidRPr="002A0EE6">
        <w:rPr>
          <w:rFonts w:cs="Arial"/>
          <w:sz w:val="22"/>
          <w:szCs w:val="22"/>
        </w:rPr>
        <w:t>Mon. Wea. Rev., 134,</w:t>
      </w:r>
      <w:r w:rsidRPr="00990957">
        <w:rPr>
          <w:rFonts w:cs="Arial"/>
          <w:sz w:val="22"/>
          <w:szCs w:val="22"/>
        </w:rPr>
        <w:t> 2318–2341, 2006.</w:t>
      </w:r>
    </w:p>
    <w:p w:rsidR="00F6191F" w:rsidRPr="00BB0610" w:rsidRDefault="00E5706D">
      <w:pPr>
        <w:spacing w:before="120"/>
        <w:ind w:left="446" w:hanging="446"/>
        <w:jc w:val="both"/>
        <w:rPr>
          <w:rFonts w:eastAsia="Times New Roman" w:cs="Times New Roman"/>
          <w:sz w:val="22"/>
          <w:szCs w:val="22"/>
        </w:rPr>
      </w:pPr>
      <w:r w:rsidRPr="00BB0610">
        <w:rPr>
          <w:rFonts w:eastAsia="Times New Roman" w:cs="Times New Roman"/>
          <w:sz w:val="22"/>
          <w:szCs w:val="22"/>
        </w:rPr>
        <w:t xml:space="preserve">Hodzic, A. and Jimenez, J. L.: Modeling anthropogenically controlled secondary organic aerosols in a megacity: a simplified framework for global and climate models, </w:t>
      </w:r>
      <w:r w:rsidRPr="002A0EE6">
        <w:rPr>
          <w:rFonts w:eastAsia="Times New Roman" w:cs="Times New Roman"/>
          <w:sz w:val="22"/>
          <w:szCs w:val="22"/>
        </w:rPr>
        <w:t>Geosci. Model Dev., 4</w:t>
      </w:r>
      <w:r w:rsidRPr="00990957">
        <w:rPr>
          <w:rFonts w:eastAsia="Times New Roman" w:cs="Times New Roman"/>
          <w:sz w:val="22"/>
          <w:szCs w:val="22"/>
        </w:rPr>
        <w:t xml:space="preserve">, 901-917, doi:10.5194/gmd-4-901-2011, 2011. </w:t>
      </w:r>
    </w:p>
    <w:p w:rsidR="00F6191F" w:rsidRPr="002A0EE6" w:rsidRDefault="00E5706D">
      <w:pPr>
        <w:spacing w:before="120"/>
        <w:ind w:left="446" w:hanging="446"/>
        <w:jc w:val="both"/>
        <w:rPr>
          <w:rFonts w:eastAsia="Times New Roman" w:cs="Times New Roman"/>
          <w:sz w:val="22"/>
          <w:szCs w:val="22"/>
        </w:rPr>
      </w:pPr>
      <w:r w:rsidRPr="002A0EE6">
        <w:rPr>
          <w:sz w:val="22"/>
          <w:szCs w:val="22"/>
          <w:lang w:val="en-US" w:eastAsia="zh-CN"/>
        </w:rPr>
        <w:t>Hu, J., Chen, J. Ying, Q., Zhang, H</w:t>
      </w:r>
      <w:r w:rsidRPr="002A0EE6">
        <w:rPr>
          <w:rFonts w:hint="eastAsia"/>
          <w:sz w:val="22"/>
          <w:szCs w:val="22"/>
          <w:lang w:val="en-US" w:eastAsia="zh-CN"/>
        </w:rPr>
        <w:t>.:</w:t>
      </w:r>
      <w:r w:rsidRPr="002A0EE6">
        <w:rPr>
          <w:sz w:val="22"/>
          <w:szCs w:val="22"/>
          <w:lang w:val="en-US" w:eastAsia="zh-CN"/>
        </w:rPr>
        <w:t xml:space="preserve"> One-Year Simulation of Ozone and Particulate Matter in China</w:t>
      </w:r>
      <w:r w:rsidR="006A21AD">
        <w:rPr>
          <w:sz w:val="22"/>
          <w:szCs w:val="22"/>
          <w:lang w:val="en-US" w:eastAsia="zh-CN"/>
        </w:rPr>
        <w:t xml:space="preserve"> Using WRF/CMAQ Modeling System,</w:t>
      </w:r>
      <w:r w:rsidRPr="002A0EE6">
        <w:rPr>
          <w:sz w:val="22"/>
          <w:szCs w:val="22"/>
          <w:lang w:val="en-US" w:eastAsia="zh-CN"/>
        </w:rPr>
        <w:t xml:space="preserve"> Atmos. Chem. Phys., 16</w:t>
      </w:r>
      <w:r w:rsidRPr="00990957">
        <w:rPr>
          <w:sz w:val="22"/>
          <w:szCs w:val="22"/>
          <w:lang w:val="en-US" w:eastAsia="zh-CN"/>
        </w:rPr>
        <w:t>, 10333-10350</w:t>
      </w:r>
      <w:r w:rsidRPr="00990957">
        <w:rPr>
          <w:rFonts w:hint="eastAsia"/>
          <w:sz w:val="22"/>
          <w:szCs w:val="22"/>
          <w:lang w:val="en-US" w:eastAsia="zh-CN"/>
        </w:rPr>
        <w:t>,</w:t>
      </w:r>
      <w:r w:rsidRPr="00BB0610">
        <w:rPr>
          <w:sz w:val="22"/>
          <w:szCs w:val="22"/>
          <w:lang w:val="en-US" w:eastAsia="zh-CN"/>
        </w:rPr>
        <w:t> doi:10.5194/acp-16-10333-2016</w:t>
      </w:r>
      <w:r w:rsidRPr="002A0EE6">
        <w:rPr>
          <w:rFonts w:hint="eastAsia"/>
          <w:sz w:val="22"/>
          <w:szCs w:val="22"/>
          <w:lang w:val="en-US" w:eastAsia="zh-CN"/>
        </w:rPr>
        <w:t>, 2016.</w:t>
      </w:r>
    </w:p>
    <w:p w:rsidR="00F6191F" w:rsidRPr="00990957" w:rsidRDefault="00E5706D">
      <w:pPr>
        <w:spacing w:before="120"/>
        <w:ind w:left="450" w:hanging="450"/>
        <w:jc w:val="both"/>
        <w:rPr>
          <w:rFonts w:cs="Arial"/>
          <w:sz w:val="22"/>
          <w:szCs w:val="22"/>
        </w:rPr>
      </w:pPr>
      <w:r w:rsidRPr="002A0EE6">
        <w:rPr>
          <w:rFonts w:cs="Arial"/>
          <w:sz w:val="22"/>
          <w:szCs w:val="22"/>
        </w:rPr>
        <w:t>Huijnen, V., Williams, J., van Weele, M., van Noije, T., Krol, M., Dentener, F., Segers, A., Houweling, S., Peters, W., de Laat, J., Boersma, F., Bergamaschi, P., van Velthoven, P., Le Sager, P., Eskes, H., Alkemade, F., Scheele, R., Nédélec, P., and Pätz, H.-W.</w:t>
      </w:r>
      <w:r w:rsidR="00252B10" w:rsidRPr="002A0EE6">
        <w:rPr>
          <w:rFonts w:cs="Arial" w:hint="eastAsia"/>
          <w:sz w:val="22"/>
          <w:szCs w:val="22"/>
          <w:lang w:eastAsia="zh-CN"/>
        </w:rPr>
        <w:t>:</w:t>
      </w:r>
      <w:r w:rsidRPr="002A0EE6">
        <w:rPr>
          <w:rFonts w:cs="Arial"/>
          <w:sz w:val="22"/>
          <w:szCs w:val="22"/>
        </w:rPr>
        <w:t xml:space="preserve"> The global chemistry transport model </w:t>
      </w:r>
      <w:r w:rsidRPr="002A0EE6">
        <w:rPr>
          <w:rFonts w:cs="Arial"/>
          <w:sz w:val="22"/>
          <w:szCs w:val="22"/>
        </w:rPr>
        <w:lastRenderedPageBreak/>
        <w:t>TM5: description and evaluation of the tropospheric chemistry version 3.0, Geosci. Model Dev.</w:t>
      </w:r>
      <w:r w:rsidRPr="00990957">
        <w:rPr>
          <w:rFonts w:cs="Arial"/>
          <w:sz w:val="22"/>
          <w:szCs w:val="22"/>
        </w:rPr>
        <w:t xml:space="preserve">, </w:t>
      </w:r>
      <w:r w:rsidRPr="002A0EE6">
        <w:rPr>
          <w:rFonts w:cs="Arial"/>
          <w:sz w:val="22"/>
          <w:szCs w:val="22"/>
        </w:rPr>
        <w:t>3</w:t>
      </w:r>
      <w:r w:rsidRPr="00990957">
        <w:rPr>
          <w:rFonts w:cs="Arial"/>
          <w:sz w:val="22"/>
          <w:szCs w:val="22"/>
        </w:rPr>
        <w:t>, 445-473, doi:10.5194/gmd-3-445-2010, 2010.</w:t>
      </w:r>
    </w:p>
    <w:p w:rsidR="00252B10" w:rsidRPr="006A21AD" w:rsidRDefault="008D19EC" w:rsidP="00F11C43">
      <w:pPr>
        <w:spacing w:before="120"/>
        <w:ind w:left="450" w:hanging="450"/>
        <w:jc w:val="both"/>
        <w:rPr>
          <w:rFonts w:cs="Arial"/>
          <w:color w:val="000000" w:themeColor="text1"/>
          <w:sz w:val="22"/>
          <w:szCs w:val="22"/>
          <w:lang w:eastAsia="zh-CN"/>
        </w:rPr>
      </w:pPr>
      <w:r w:rsidRPr="006A21AD">
        <w:rPr>
          <w:color w:val="000000" w:themeColor="text1"/>
          <w:sz w:val="22"/>
          <w:szCs w:val="22"/>
          <w:shd w:val="clear" w:color="auto" w:fill="FFFFFF"/>
        </w:rPr>
        <w:t>Inness, A., Blechschmidt, A.-M., Bouarar, I., Chabrillat, S., Crepulja, M., Engelen, R. J., Eskes, H., Flemming, J., Gaudel, A., Hendrick, F., Huijnen, V., Jones, L., Kapsomenakis, J., Katragkou, E., Keppens, A., Langerock, B., de Mazière, M., Melas, D., Parrington, M., Peuch, V. H., Razinger, M., Richter, A., Schultz, M. G., Suttie, M., Thouret, V., Vrekoussis, M., Wagner, A., and Zerefos, C.: Data assimilation of satellite-retrieved ozone, carbon monoxide and nitrogen dioxide with ECMWF's Composition-IFS, Atmos. Chem. Phys., 15, 5275-5303, https://doi.org/10.5194/acp-15-5275-2015, 2015.</w:t>
      </w:r>
    </w:p>
    <w:p w:rsidR="00F6191F" w:rsidRPr="00990957" w:rsidRDefault="00E5706D">
      <w:pPr>
        <w:autoSpaceDE w:val="0"/>
        <w:autoSpaceDN w:val="0"/>
        <w:adjustRightInd w:val="0"/>
        <w:spacing w:before="120"/>
        <w:ind w:left="450" w:hanging="450"/>
        <w:jc w:val="both"/>
        <w:rPr>
          <w:rFonts w:cs="Arial"/>
          <w:sz w:val="22"/>
          <w:szCs w:val="22"/>
        </w:rPr>
      </w:pPr>
      <w:r w:rsidRPr="00990957">
        <w:rPr>
          <w:rFonts w:cs="Arial"/>
          <w:sz w:val="22"/>
          <w:szCs w:val="22"/>
        </w:rPr>
        <w:t xml:space="preserve">Janssens-Maenhout, G., Crippa, M., Guizzardi, D., Dentener, F., Muntean, M., Pouliot, G., Keating, T., Zhang, Q., Kurokawa, J., Wankmüller, R., Denier van der Gon, H., Kuenen, J. J. P., Klimont, Z., Frost, G., Darras, S., Koffi, B., and Li, M.: HTAP_v2.2: a mosaic of regional and global emission grid maps for 2008 and 2010 to study hemispheric transport of air pollution, </w:t>
      </w:r>
      <w:r w:rsidRPr="002A0EE6">
        <w:rPr>
          <w:rFonts w:cs="Arial"/>
          <w:sz w:val="22"/>
          <w:szCs w:val="22"/>
        </w:rPr>
        <w:t>Atmos. Chem. Phys., 15</w:t>
      </w:r>
      <w:r w:rsidRPr="00990957">
        <w:rPr>
          <w:rFonts w:cs="Arial"/>
          <w:sz w:val="22"/>
          <w:szCs w:val="22"/>
        </w:rPr>
        <w:t>, 11411-11432, doi:10.5194/acp-15-11411-2015, 2015.</w:t>
      </w:r>
    </w:p>
    <w:p w:rsidR="00865FCD" w:rsidRPr="002A0EE6" w:rsidRDefault="00E5706D" w:rsidP="002A0EE6">
      <w:pPr>
        <w:autoSpaceDE w:val="0"/>
        <w:autoSpaceDN w:val="0"/>
        <w:adjustRightInd w:val="0"/>
        <w:spacing w:before="120"/>
        <w:ind w:left="450" w:hanging="450"/>
        <w:jc w:val="both"/>
        <w:rPr>
          <w:rFonts w:cs="Arial"/>
          <w:sz w:val="22"/>
          <w:szCs w:val="22"/>
          <w:lang w:eastAsia="zh-CN"/>
        </w:rPr>
      </w:pPr>
      <w:r w:rsidRPr="00990957">
        <w:rPr>
          <w:rFonts w:cs="Arial"/>
          <w:sz w:val="22"/>
          <w:szCs w:val="22"/>
        </w:rPr>
        <w:t>Kouznetsov, R.</w:t>
      </w:r>
      <w:r w:rsidR="008D19EC" w:rsidRPr="002A0EE6">
        <w:rPr>
          <w:rFonts w:cs="Arial"/>
          <w:sz w:val="22"/>
          <w:szCs w:val="22"/>
        </w:rPr>
        <w:t xml:space="preserve"> and</w:t>
      </w:r>
      <w:r w:rsidRPr="002A0EE6">
        <w:rPr>
          <w:rFonts w:cs="Arial"/>
          <w:sz w:val="22"/>
          <w:szCs w:val="22"/>
        </w:rPr>
        <w:t xml:space="preserve"> Sofiev, M.: A methodology for evaluation of vertical dispersion and dry deposition of atmospheric aerosols, J. Geophys. Res</w:t>
      </w:r>
      <w:r w:rsidRPr="00990957">
        <w:rPr>
          <w:rFonts w:cs="Arial"/>
          <w:sz w:val="22"/>
          <w:szCs w:val="22"/>
        </w:rPr>
        <w:t xml:space="preserve">, 117, </w:t>
      </w:r>
      <w:r w:rsidR="00865FCD" w:rsidRPr="00990957">
        <w:rPr>
          <w:rFonts w:cs="Arial"/>
          <w:sz w:val="22"/>
          <w:szCs w:val="22"/>
        </w:rPr>
        <w:t>D01202</w:t>
      </w:r>
      <w:r w:rsidR="00865FCD" w:rsidRPr="002A0EE6">
        <w:rPr>
          <w:rFonts w:cs="Arial"/>
          <w:sz w:val="22"/>
          <w:szCs w:val="22"/>
        </w:rPr>
        <w:t xml:space="preserve">, </w:t>
      </w:r>
      <w:hyperlink r:id="rId72" w:history="1">
        <w:r w:rsidR="008D19EC" w:rsidRPr="002A0EE6">
          <w:rPr>
            <w:sz w:val="22"/>
            <w:szCs w:val="22"/>
          </w:rPr>
          <w:t>https://doi.org/10.1029/2011JD016366</w:t>
        </w:r>
      </w:hyperlink>
      <w:r w:rsidR="008D19EC" w:rsidRPr="002A0EE6">
        <w:rPr>
          <w:rFonts w:cs="Arial"/>
          <w:sz w:val="22"/>
          <w:szCs w:val="22"/>
        </w:rPr>
        <w:t xml:space="preserve">, </w:t>
      </w:r>
      <w:r w:rsidRPr="002A0EE6">
        <w:rPr>
          <w:rFonts w:cs="Arial"/>
          <w:sz w:val="22"/>
          <w:szCs w:val="22"/>
        </w:rPr>
        <w:t>2012.</w:t>
      </w:r>
    </w:p>
    <w:p w:rsidR="00F6191F" w:rsidRPr="00990957" w:rsidRDefault="00E5706D">
      <w:pPr>
        <w:pStyle w:val="p1"/>
        <w:spacing w:before="120"/>
        <w:ind w:left="450" w:hanging="450"/>
        <w:jc w:val="both"/>
        <w:rPr>
          <w:rFonts w:asciiTheme="minorHAnsi" w:hAnsiTheme="minorHAnsi" w:cstheme="minorBidi"/>
          <w:sz w:val="22"/>
          <w:szCs w:val="22"/>
          <w:lang w:eastAsia="en-US"/>
        </w:rPr>
      </w:pPr>
      <w:r w:rsidRPr="002A0EE6">
        <w:rPr>
          <w:rFonts w:asciiTheme="minorHAnsi" w:hAnsiTheme="minorHAnsi" w:cstheme="minorBidi"/>
          <w:sz w:val="22"/>
          <w:szCs w:val="22"/>
          <w:lang w:eastAsia="en-US"/>
        </w:rPr>
        <w:t>Kukkonen, J., Olsson, T., Schultz, D. M., Baklanov, A., Klein, T., Miranda, A. I., Monteiro, A., Hirtl, M., Tarvainen, V., Boy, M., Peuch, V.-H., Poupkou, A., Kioutsioukis, I., Finardi, S., Sofiev, M., Sokhi, R., Lehtinen, K. E. J., Karatzas, K., San José, R., Astitha, M., Kallos, G., Schaap, M., Reimer, E., Jakobs, H. and Eben, K.: A review of operational, regional-scale, chemical weather forecasting models in Europe, Atmos. Chem. Phys., 12</w:t>
      </w:r>
      <w:r w:rsidRPr="00990957">
        <w:rPr>
          <w:rFonts w:asciiTheme="minorHAnsi" w:hAnsiTheme="minorHAnsi" w:cstheme="minorBidi"/>
          <w:sz w:val="22"/>
          <w:szCs w:val="22"/>
          <w:lang w:eastAsia="en-US"/>
        </w:rPr>
        <w:t>, 1–87, doi:10.5194/acp-12-1-2012, 2012.</w:t>
      </w:r>
    </w:p>
    <w:p w:rsidR="00F6191F" w:rsidRPr="00990957" w:rsidRDefault="00E5706D">
      <w:pPr>
        <w:autoSpaceDE w:val="0"/>
        <w:autoSpaceDN w:val="0"/>
        <w:adjustRightInd w:val="0"/>
        <w:snapToGrid w:val="0"/>
        <w:spacing w:before="120"/>
        <w:ind w:left="440" w:hanging="440"/>
        <w:jc w:val="both"/>
        <w:rPr>
          <w:sz w:val="22"/>
          <w:szCs w:val="22"/>
          <w:shd w:val="clear" w:color="auto" w:fill="FFFFFF"/>
        </w:rPr>
      </w:pPr>
      <w:r w:rsidRPr="00990957">
        <w:rPr>
          <w:sz w:val="22"/>
          <w:szCs w:val="22"/>
          <w:shd w:val="clear" w:color="auto" w:fill="FFFFFF"/>
        </w:rPr>
        <w:t xml:space="preserve">Li, M., Zhang, Q., Streets, D., He, K.B., Cheng, Y.F., Emmons, L. K., Huo, H., Kang, S.C., Lu, Z., Shao, M., Su, H., </w:t>
      </w:r>
      <w:r w:rsidR="006A21AD">
        <w:rPr>
          <w:sz w:val="22"/>
          <w:szCs w:val="22"/>
          <w:shd w:val="clear" w:color="auto" w:fill="FFFFFF"/>
        </w:rPr>
        <w:t>Yu, X., Zhang, Y.:</w:t>
      </w:r>
      <w:r w:rsidRPr="00990957">
        <w:rPr>
          <w:sz w:val="22"/>
          <w:szCs w:val="22"/>
          <w:shd w:val="clear" w:color="auto" w:fill="FFFFFF"/>
        </w:rPr>
        <w:t xml:space="preserve"> Mapping Asian anthropogenic emissions of non-methane volatile organic compounds to multiple chemical mechanisms, </w:t>
      </w:r>
      <w:r w:rsidRPr="002A0EE6">
        <w:rPr>
          <w:sz w:val="22"/>
          <w:szCs w:val="22"/>
          <w:shd w:val="clear" w:color="auto" w:fill="FFFFFF"/>
        </w:rPr>
        <w:t>Atmos. Chem. Phys., 14</w:t>
      </w:r>
      <w:r w:rsidRPr="00990957">
        <w:rPr>
          <w:sz w:val="22"/>
          <w:szCs w:val="22"/>
          <w:shd w:val="clear" w:color="auto" w:fill="FFFFFF"/>
        </w:rPr>
        <w:t>, 5617-5638, 2014.</w:t>
      </w:r>
    </w:p>
    <w:p w:rsidR="00F6191F" w:rsidRPr="00990957" w:rsidRDefault="00E5706D">
      <w:pPr>
        <w:autoSpaceDE w:val="0"/>
        <w:autoSpaceDN w:val="0"/>
        <w:adjustRightInd w:val="0"/>
        <w:snapToGrid w:val="0"/>
        <w:spacing w:before="120"/>
        <w:ind w:left="440" w:hanging="440"/>
        <w:jc w:val="both"/>
        <w:rPr>
          <w:sz w:val="22"/>
          <w:szCs w:val="22"/>
          <w:shd w:val="clear" w:color="auto" w:fill="FFFFFF"/>
          <w:lang w:eastAsia="zh-CN"/>
        </w:rPr>
      </w:pPr>
      <w:r w:rsidRPr="00990957">
        <w:rPr>
          <w:sz w:val="22"/>
          <w:szCs w:val="22"/>
          <w:shd w:val="clear" w:color="auto" w:fill="FFFFFF"/>
        </w:rPr>
        <w:t xml:space="preserve">Li, M., Zhang, Q., Kurokawa, J.-I., Woo, J.-H., He, K., Lu, Z., Ohara, T., Song, Y., Streets, D. G., Carmichael, G. R., Cheng, Y., Hong, C., Huo, H., Jiang, X., Kang, S., Liu, F., Su, H., and Zheng, B.: MIX: a mosaic Asian anthropogenic emission inventory under the international collaboration framework of the MICS-Asia and HTAP, </w:t>
      </w:r>
      <w:r w:rsidRPr="002A0EE6">
        <w:rPr>
          <w:sz w:val="22"/>
          <w:szCs w:val="22"/>
          <w:shd w:val="clear" w:color="auto" w:fill="FFFFFF"/>
        </w:rPr>
        <w:t>Atmos. Chem. Phys., 17,</w:t>
      </w:r>
      <w:r w:rsidRPr="00990957">
        <w:rPr>
          <w:sz w:val="22"/>
          <w:szCs w:val="22"/>
          <w:shd w:val="clear" w:color="auto" w:fill="FFFFFF"/>
        </w:rPr>
        <w:t xml:space="preserve"> 935-963, https://doi.org/10.5194/acp-17-935-2017, 2017.</w:t>
      </w:r>
    </w:p>
    <w:p w:rsidR="00F6191F" w:rsidRPr="00990957" w:rsidRDefault="00E5706D" w:rsidP="002A0EE6">
      <w:pPr>
        <w:autoSpaceDE w:val="0"/>
        <w:autoSpaceDN w:val="0"/>
        <w:adjustRightInd w:val="0"/>
        <w:snapToGrid w:val="0"/>
        <w:spacing w:before="120"/>
        <w:ind w:left="440" w:hanging="440"/>
        <w:jc w:val="both"/>
        <w:rPr>
          <w:sz w:val="22"/>
          <w:szCs w:val="22"/>
          <w:shd w:val="clear" w:color="auto" w:fill="FFFFFF"/>
        </w:rPr>
      </w:pPr>
      <w:r w:rsidRPr="00990957">
        <w:rPr>
          <w:sz w:val="22"/>
          <w:szCs w:val="22"/>
          <w:shd w:val="clear" w:color="auto" w:fill="FFFFFF"/>
        </w:rPr>
        <w:t>Liu, F., Zhang, Q., Tong, D., Zheng</w:t>
      </w:r>
      <w:r w:rsidR="006A21AD">
        <w:rPr>
          <w:sz w:val="22"/>
          <w:szCs w:val="22"/>
          <w:shd w:val="clear" w:color="auto" w:fill="FFFFFF"/>
        </w:rPr>
        <w:t>, B., Li, M., Huo, H., He, K.B.:</w:t>
      </w:r>
      <w:r w:rsidRPr="00990957">
        <w:rPr>
          <w:sz w:val="22"/>
          <w:szCs w:val="22"/>
          <w:shd w:val="clear" w:color="auto" w:fill="FFFFFF"/>
        </w:rPr>
        <w:t xml:space="preserve"> High-resolution inventory of technologies, activities, and emissions of coal-fired power plants in China from 1990 to 2010, </w:t>
      </w:r>
      <w:r w:rsidRPr="002A0EE6">
        <w:rPr>
          <w:sz w:val="22"/>
          <w:szCs w:val="22"/>
          <w:shd w:val="clear" w:color="auto" w:fill="FFFFFF"/>
        </w:rPr>
        <w:t>Atmos. Chem. Phys., 15</w:t>
      </w:r>
      <w:r w:rsidRPr="00990957">
        <w:rPr>
          <w:sz w:val="22"/>
          <w:szCs w:val="22"/>
          <w:shd w:val="clear" w:color="auto" w:fill="FFFFFF"/>
        </w:rPr>
        <w:t>(13), 18787-18837, 2015.</w:t>
      </w:r>
    </w:p>
    <w:p w:rsidR="00F6191F" w:rsidRPr="00990957" w:rsidRDefault="006A21AD" w:rsidP="002A0EE6">
      <w:pPr>
        <w:pStyle w:val="Heading3"/>
        <w:spacing w:before="120" w:beforeAutospacing="0" w:after="0" w:afterAutospacing="0"/>
        <w:ind w:left="450" w:hanging="450"/>
        <w:jc w:val="both"/>
        <w:rPr>
          <w:rFonts w:asciiTheme="minorHAnsi" w:eastAsia="Times New Roman" w:hAnsiTheme="minorHAnsi" w:cs="Times New Roman"/>
          <w:b w:val="0"/>
          <w:sz w:val="22"/>
          <w:szCs w:val="22"/>
        </w:rPr>
      </w:pPr>
      <w:r>
        <w:rPr>
          <w:rFonts w:asciiTheme="minorHAnsi" w:hAnsiTheme="minorHAnsi"/>
          <w:b w:val="0"/>
          <w:sz w:val="22"/>
          <w:szCs w:val="22"/>
        </w:rPr>
        <w:t>Lorenc, A.C:</w:t>
      </w:r>
      <w:r w:rsidR="00E5706D" w:rsidRPr="00990957">
        <w:rPr>
          <w:rFonts w:asciiTheme="minorHAnsi" w:eastAsia="Times New Roman" w:hAnsiTheme="minorHAnsi" w:cs="Times New Roman"/>
          <w:b w:val="0"/>
          <w:sz w:val="22"/>
          <w:szCs w:val="22"/>
        </w:rPr>
        <w:t xml:space="preserve"> </w:t>
      </w:r>
      <w:hyperlink r:id="rId73" w:history="1">
        <w:r w:rsidR="00E5706D" w:rsidRPr="00990957">
          <w:rPr>
            <w:rStyle w:val="Hyperlink"/>
            <w:rFonts w:asciiTheme="minorHAnsi" w:eastAsia="Times New Roman" w:hAnsiTheme="minorHAnsi" w:cs="Times New Roman"/>
            <w:b w:val="0"/>
            <w:color w:val="auto"/>
            <w:sz w:val="22"/>
            <w:szCs w:val="22"/>
            <w:u w:val="none"/>
          </w:rPr>
          <w:t>A global three-dimensional multivariate statistical interpolation scheme</w:t>
        </w:r>
      </w:hyperlink>
      <w:r w:rsidR="00E5706D" w:rsidRPr="00990957">
        <w:rPr>
          <w:rFonts w:asciiTheme="minorHAnsi" w:eastAsia="Times New Roman" w:hAnsiTheme="minorHAnsi" w:cs="Times New Roman"/>
          <w:b w:val="0"/>
          <w:sz w:val="22"/>
          <w:szCs w:val="22"/>
        </w:rPr>
        <w:t xml:space="preserve">, </w:t>
      </w:r>
      <w:r w:rsidR="00E5706D" w:rsidRPr="002A0EE6">
        <w:rPr>
          <w:rFonts w:asciiTheme="minorHAnsi" w:eastAsia="Times New Roman" w:hAnsiTheme="minorHAnsi" w:cs="Times New Roman"/>
          <w:b w:val="0"/>
          <w:sz w:val="22"/>
          <w:szCs w:val="22"/>
        </w:rPr>
        <w:t>Mon. Wea. Rev., 109</w:t>
      </w:r>
      <w:r w:rsidR="00E5706D" w:rsidRPr="00990957">
        <w:rPr>
          <w:rFonts w:asciiTheme="minorHAnsi" w:eastAsia="Times New Roman" w:hAnsiTheme="minorHAnsi" w:cs="Times New Roman"/>
          <w:b w:val="0"/>
          <w:sz w:val="22"/>
          <w:szCs w:val="22"/>
        </w:rPr>
        <w:t xml:space="preserve">, 701- 721, </w:t>
      </w:r>
      <w:r w:rsidR="00E5706D" w:rsidRPr="00990957">
        <w:rPr>
          <w:rFonts w:asciiTheme="minorHAnsi" w:eastAsia="Times New Roman" w:hAnsiTheme="minorHAnsi" w:cs="Times New Roman"/>
          <w:b w:val="0"/>
          <w:bCs w:val="0"/>
          <w:sz w:val="22"/>
          <w:szCs w:val="22"/>
        </w:rPr>
        <w:t>1981</w:t>
      </w:r>
      <w:r w:rsidR="00E5706D" w:rsidRPr="00990957">
        <w:rPr>
          <w:rFonts w:asciiTheme="minorHAnsi" w:eastAsia="Times New Roman" w:hAnsiTheme="minorHAnsi" w:cs="Times New Roman"/>
          <w:b w:val="0"/>
          <w:sz w:val="22"/>
          <w:szCs w:val="22"/>
        </w:rPr>
        <w:t xml:space="preserve"> </w:t>
      </w:r>
    </w:p>
    <w:p w:rsidR="00F6191F" w:rsidRPr="00990957" w:rsidRDefault="00E5706D" w:rsidP="002A0EE6">
      <w:pPr>
        <w:autoSpaceDE w:val="0"/>
        <w:autoSpaceDN w:val="0"/>
        <w:adjustRightInd w:val="0"/>
        <w:snapToGrid w:val="0"/>
        <w:spacing w:before="120"/>
        <w:ind w:left="440" w:hanging="440"/>
        <w:jc w:val="both"/>
        <w:rPr>
          <w:sz w:val="22"/>
          <w:szCs w:val="22"/>
          <w:lang w:val="nl-NL"/>
        </w:rPr>
      </w:pPr>
      <w:r w:rsidRPr="00990957">
        <w:rPr>
          <w:sz w:val="22"/>
          <w:szCs w:val="22"/>
        </w:rPr>
        <w:t>Madronich, S.</w:t>
      </w:r>
      <w:r w:rsidR="00990957" w:rsidRPr="00990957">
        <w:rPr>
          <w:sz w:val="22"/>
          <w:szCs w:val="22"/>
        </w:rPr>
        <w:t xml:space="preserve"> and</w:t>
      </w:r>
      <w:r w:rsidR="006A21AD">
        <w:rPr>
          <w:sz w:val="22"/>
          <w:szCs w:val="22"/>
        </w:rPr>
        <w:t xml:space="preserve"> Flocke, S.:</w:t>
      </w:r>
      <w:r w:rsidRPr="00990957">
        <w:rPr>
          <w:sz w:val="22"/>
          <w:szCs w:val="22"/>
        </w:rPr>
        <w:t xml:space="preserve"> The role of solar radiation in atmospheric chemistry. </w:t>
      </w:r>
      <w:r w:rsidRPr="00990957">
        <w:rPr>
          <w:sz w:val="22"/>
          <w:szCs w:val="22"/>
          <w:lang w:val="nl-NL"/>
        </w:rPr>
        <w:t xml:space="preserve">Boule P. (Ed.), </w:t>
      </w:r>
      <w:r w:rsidRPr="002A0EE6">
        <w:rPr>
          <w:sz w:val="22"/>
          <w:szCs w:val="22"/>
          <w:lang w:val="nl-NL"/>
        </w:rPr>
        <w:t>Handbook of Environmental Chemistry</w:t>
      </w:r>
      <w:r w:rsidRPr="00990957">
        <w:rPr>
          <w:sz w:val="22"/>
          <w:szCs w:val="22"/>
          <w:lang w:val="nl-NL"/>
        </w:rPr>
        <w:t>. Springer, Heidelberg, 1999.</w:t>
      </w:r>
    </w:p>
    <w:p w:rsidR="00F6191F" w:rsidRPr="00990957" w:rsidRDefault="00E5706D">
      <w:pPr>
        <w:spacing w:before="120"/>
        <w:ind w:left="450" w:hanging="450"/>
        <w:jc w:val="both"/>
        <w:rPr>
          <w:rStyle w:val="inzet"/>
          <w:rFonts w:cstheme="minorHAnsi"/>
          <w:sz w:val="22"/>
          <w:szCs w:val="22"/>
          <w:lang w:eastAsia="zh-CN"/>
        </w:rPr>
      </w:pPr>
      <w:r w:rsidRPr="00990957">
        <w:rPr>
          <w:rStyle w:val="inzet"/>
          <w:rFonts w:cstheme="minorHAnsi"/>
          <w:sz w:val="22"/>
          <w:szCs w:val="22"/>
          <w:lang w:val="nl-NL"/>
        </w:rPr>
        <w:t>Manders, A. M. M., Builtjes, P. J. H., Curier, L., Denier van der Gon, H. A. C., Hendriks, C., Jonkers, S., Kranenburg, R., Kuenen, J., Segers, A. J., Timmermans, R. M. A., Visschedijk, A., Wichink Kruit, R. J., Van Pul, W. A. J., Sauter, F. J., van der Swaluw, E., Swart, D. P. J., Douros, J., Eskes, H., van Meijgaard, E., van Ulft, B., van Velthoven, P., Banzhaf, S., Mues, A., Stern, R., Fu, G., Lu, S., Heemink, A., van Velzen, N., and Schaap, M.</w:t>
      </w:r>
      <w:r w:rsidR="006A21AD">
        <w:rPr>
          <w:rFonts w:cstheme="minorHAnsi"/>
          <w:sz w:val="22"/>
          <w:szCs w:val="22"/>
          <w:lang w:val="nl-NL"/>
        </w:rPr>
        <w:t>:</w:t>
      </w:r>
      <w:r w:rsidRPr="00990957">
        <w:rPr>
          <w:rFonts w:cstheme="minorHAnsi"/>
          <w:sz w:val="22"/>
          <w:szCs w:val="22"/>
          <w:lang w:val="nl-NL"/>
        </w:rPr>
        <w:t xml:space="preserve"> </w:t>
      </w:r>
      <w:r w:rsidRPr="002A0EE6">
        <w:rPr>
          <w:rStyle w:val="inzet"/>
          <w:rFonts w:cstheme="minorHAnsi"/>
          <w:iCs/>
          <w:sz w:val="22"/>
          <w:szCs w:val="22"/>
          <w:lang w:val="nl-NL"/>
        </w:rPr>
        <w:t>Curriculum Vitae of the LOTOS-EUROS (v2.0) chemistry transport model</w:t>
      </w:r>
      <w:r w:rsidRPr="00990957">
        <w:rPr>
          <w:rFonts w:cstheme="minorHAnsi"/>
          <w:sz w:val="22"/>
          <w:szCs w:val="22"/>
          <w:lang w:val="nl-NL"/>
        </w:rPr>
        <w:t xml:space="preserve">, </w:t>
      </w:r>
      <w:r w:rsidRPr="002A0EE6">
        <w:rPr>
          <w:rStyle w:val="inzet"/>
          <w:rFonts w:cstheme="minorHAnsi"/>
          <w:sz w:val="22"/>
          <w:szCs w:val="22"/>
          <w:lang w:val="nl-NL"/>
        </w:rPr>
        <w:t xml:space="preserve">Geosci. </w:t>
      </w:r>
      <w:r w:rsidRPr="002A0EE6">
        <w:rPr>
          <w:rStyle w:val="inzet"/>
          <w:rFonts w:cstheme="minorHAnsi"/>
          <w:sz w:val="22"/>
          <w:szCs w:val="22"/>
        </w:rPr>
        <w:t>Model Dev.</w:t>
      </w:r>
      <w:r w:rsidRPr="00990957">
        <w:rPr>
          <w:rStyle w:val="inzet"/>
          <w:rFonts w:cstheme="minorHAnsi"/>
          <w:sz w:val="22"/>
          <w:szCs w:val="22"/>
        </w:rPr>
        <w:t>, doi:</w:t>
      </w:r>
      <w:hyperlink r:id="rId74" w:history="1">
        <w:r w:rsidRPr="00990957">
          <w:rPr>
            <w:rStyle w:val="inzet"/>
            <w:rFonts w:cstheme="minorHAnsi"/>
            <w:color w:val="002755"/>
            <w:sz w:val="22"/>
            <w:szCs w:val="22"/>
          </w:rPr>
          <w:t>10.5194/gmd-2017-88</w:t>
        </w:r>
      </w:hyperlink>
      <w:r w:rsidRPr="00990957">
        <w:rPr>
          <w:rStyle w:val="inzet"/>
          <w:rFonts w:cstheme="minorHAnsi"/>
          <w:sz w:val="22"/>
          <w:szCs w:val="22"/>
        </w:rPr>
        <w:t>, 2017</w:t>
      </w:r>
    </w:p>
    <w:p w:rsidR="00F6191F" w:rsidRPr="00990957" w:rsidRDefault="00E5706D">
      <w:pPr>
        <w:autoSpaceDE w:val="0"/>
        <w:autoSpaceDN w:val="0"/>
        <w:adjustRightInd w:val="0"/>
        <w:spacing w:before="120"/>
        <w:ind w:left="450" w:hanging="450"/>
        <w:jc w:val="both"/>
        <w:rPr>
          <w:rFonts w:cs="Arial"/>
          <w:sz w:val="22"/>
          <w:szCs w:val="22"/>
        </w:rPr>
      </w:pPr>
      <w:r w:rsidRPr="00990957">
        <w:rPr>
          <w:rFonts w:cs="Arial"/>
          <w:sz w:val="22"/>
          <w:szCs w:val="22"/>
        </w:rPr>
        <w:t xml:space="preserve">Marécal, V., Peuch, V.-H., Andersson, C., Andersson, S., Arteta, J., Beekmann, M., Benedictow, A., Bergström, R., et al.: A regional air quality forecasting system over Europe: the MACC-II daily ensemble production, </w:t>
      </w:r>
      <w:r w:rsidRPr="002A0EE6">
        <w:rPr>
          <w:rFonts w:cs="Arial"/>
          <w:sz w:val="22"/>
          <w:szCs w:val="22"/>
        </w:rPr>
        <w:t>Geosci. Model Dev., 8</w:t>
      </w:r>
      <w:r w:rsidRPr="00990957">
        <w:rPr>
          <w:rFonts w:cs="Arial"/>
          <w:sz w:val="22"/>
          <w:szCs w:val="22"/>
        </w:rPr>
        <w:t>, 2777–2813, doi:10.5194/gmd-8-2777-2015, 2015.</w:t>
      </w:r>
    </w:p>
    <w:p w:rsidR="00F6191F" w:rsidRPr="00990957" w:rsidRDefault="00E5706D">
      <w:pPr>
        <w:autoSpaceDE w:val="0"/>
        <w:autoSpaceDN w:val="0"/>
        <w:adjustRightInd w:val="0"/>
        <w:spacing w:before="120"/>
        <w:ind w:left="450" w:hanging="450"/>
        <w:jc w:val="both"/>
        <w:rPr>
          <w:rFonts w:cs="Arial"/>
          <w:sz w:val="22"/>
          <w:szCs w:val="22"/>
        </w:rPr>
      </w:pPr>
      <w:r w:rsidRPr="00990957">
        <w:rPr>
          <w:rFonts w:cstheme="minorHAnsi"/>
          <w:sz w:val="22"/>
          <w:szCs w:val="22"/>
        </w:rPr>
        <w:lastRenderedPageBreak/>
        <w:t xml:space="preserve">McKeen, S., </w:t>
      </w:r>
      <w:r w:rsidRPr="00990957">
        <w:rPr>
          <w:rFonts w:eastAsia="Times New Roman" w:cstheme="minorHAnsi"/>
          <w:sz w:val="22"/>
          <w:szCs w:val="22"/>
          <w:lang w:val="en-US"/>
        </w:rPr>
        <w:t xml:space="preserve">Wilczak, </w:t>
      </w:r>
      <w:r w:rsidR="00990957" w:rsidRPr="00271DDB">
        <w:rPr>
          <w:rFonts w:eastAsia="Times New Roman" w:cstheme="minorHAnsi"/>
          <w:sz w:val="22"/>
          <w:szCs w:val="22"/>
          <w:lang w:val="en-US"/>
        </w:rPr>
        <w:t>J.</w:t>
      </w:r>
      <w:r w:rsidR="00990957">
        <w:rPr>
          <w:rFonts w:eastAsia="Times New Roman" w:cstheme="minorHAnsi"/>
          <w:sz w:val="22"/>
          <w:szCs w:val="22"/>
          <w:lang w:val="en-US"/>
        </w:rPr>
        <w:t>,</w:t>
      </w:r>
      <w:r w:rsidRPr="00990957">
        <w:rPr>
          <w:rFonts w:eastAsia="Times New Roman" w:cstheme="minorHAnsi"/>
          <w:sz w:val="22"/>
          <w:szCs w:val="22"/>
          <w:lang w:val="en-US"/>
        </w:rPr>
        <w:t xml:space="preserve"> Grell</w:t>
      </w:r>
      <w:r w:rsidR="00990957">
        <w:rPr>
          <w:rFonts w:eastAsia="Times New Roman" w:cstheme="minorHAnsi"/>
          <w:sz w:val="22"/>
          <w:szCs w:val="22"/>
          <w:lang w:val="en-US"/>
        </w:rPr>
        <w:t>,</w:t>
      </w:r>
      <w:r w:rsidR="00990957" w:rsidRPr="00990957">
        <w:rPr>
          <w:rFonts w:eastAsia="Times New Roman" w:cstheme="minorHAnsi"/>
          <w:sz w:val="22"/>
          <w:szCs w:val="22"/>
          <w:lang w:val="en-US"/>
        </w:rPr>
        <w:t xml:space="preserve"> G</w:t>
      </w:r>
      <w:r w:rsidR="00990957">
        <w:rPr>
          <w:rFonts w:eastAsia="Times New Roman" w:cstheme="minorHAnsi"/>
          <w:sz w:val="22"/>
          <w:szCs w:val="22"/>
          <w:lang w:val="en-US"/>
        </w:rPr>
        <w:t>.</w:t>
      </w:r>
      <w:r w:rsidRPr="00990957">
        <w:rPr>
          <w:rFonts w:eastAsia="Times New Roman" w:cstheme="minorHAnsi"/>
          <w:sz w:val="22"/>
          <w:szCs w:val="22"/>
          <w:lang w:val="en-US"/>
        </w:rPr>
        <w:t xml:space="preserve">, Djalalova, </w:t>
      </w:r>
      <w:r w:rsidR="00990957" w:rsidRPr="00990957">
        <w:rPr>
          <w:rFonts w:eastAsia="Times New Roman" w:cstheme="minorHAnsi"/>
          <w:sz w:val="22"/>
          <w:szCs w:val="22"/>
          <w:lang w:val="en-US"/>
        </w:rPr>
        <w:t>I.</w:t>
      </w:r>
      <w:r w:rsidR="00990957">
        <w:rPr>
          <w:rFonts w:eastAsia="Times New Roman" w:cstheme="minorHAnsi"/>
          <w:sz w:val="22"/>
          <w:szCs w:val="22"/>
          <w:lang w:val="en-US"/>
        </w:rPr>
        <w:t>,</w:t>
      </w:r>
      <w:r w:rsidRPr="00990957">
        <w:rPr>
          <w:rFonts w:eastAsia="Times New Roman" w:cstheme="minorHAnsi"/>
          <w:sz w:val="22"/>
          <w:szCs w:val="22"/>
          <w:lang w:val="en-US"/>
        </w:rPr>
        <w:t xml:space="preserve"> Peckham, </w:t>
      </w:r>
      <w:r w:rsidR="00990957" w:rsidRPr="00990957">
        <w:rPr>
          <w:rFonts w:eastAsia="Times New Roman" w:cstheme="minorHAnsi"/>
          <w:sz w:val="22"/>
          <w:szCs w:val="22"/>
          <w:lang w:val="en-US"/>
        </w:rPr>
        <w:t>S.</w:t>
      </w:r>
      <w:r w:rsidR="00990957">
        <w:rPr>
          <w:rFonts w:eastAsia="Times New Roman" w:cstheme="minorHAnsi"/>
          <w:sz w:val="22"/>
          <w:szCs w:val="22"/>
          <w:lang w:val="en-US"/>
        </w:rPr>
        <w:t>,</w:t>
      </w:r>
      <w:r w:rsidRPr="00990957">
        <w:rPr>
          <w:rFonts w:eastAsia="Times New Roman" w:cstheme="minorHAnsi"/>
          <w:sz w:val="22"/>
          <w:szCs w:val="22"/>
          <w:lang w:val="en-US"/>
        </w:rPr>
        <w:t xml:space="preserve"> Hsie, </w:t>
      </w:r>
      <w:r w:rsidR="00990957" w:rsidRPr="00990957">
        <w:rPr>
          <w:rFonts w:eastAsia="Times New Roman" w:cstheme="minorHAnsi"/>
          <w:sz w:val="22"/>
          <w:szCs w:val="22"/>
          <w:lang w:val="en-US"/>
        </w:rPr>
        <w:t>E.-Y</w:t>
      </w:r>
      <w:r w:rsidR="00990957">
        <w:rPr>
          <w:rFonts w:eastAsia="Times New Roman" w:cstheme="minorHAnsi"/>
          <w:sz w:val="22"/>
          <w:szCs w:val="22"/>
          <w:lang w:val="en-US"/>
        </w:rPr>
        <w:t>.,</w:t>
      </w:r>
      <w:r w:rsidR="00990957" w:rsidRPr="00990957">
        <w:rPr>
          <w:rFonts w:eastAsia="Times New Roman" w:cstheme="minorHAnsi"/>
          <w:sz w:val="22"/>
          <w:szCs w:val="22"/>
          <w:lang w:val="en-US"/>
        </w:rPr>
        <w:t xml:space="preserve"> </w:t>
      </w:r>
      <w:r w:rsidRPr="00990957">
        <w:rPr>
          <w:rFonts w:eastAsia="Times New Roman" w:cstheme="minorHAnsi"/>
          <w:sz w:val="22"/>
          <w:szCs w:val="22"/>
          <w:lang w:val="en-US"/>
        </w:rPr>
        <w:t xml:space="preserve">Gong, </w:t>
      </w:r>
      <w:r w:rsidR="00990957" w:rsidRPr="00990957">
        <w:rPr>
          <w:rFonts w:eastAsia="Times New Roman" w:cstheme="minorHAnsi"/>
          <w:sz w:val="22"/>
          <w:szCs w:val="22"/>
          <w:lang w:val="en-US"/>
        </w:rPr>
        <w:t>W.</w:t>
      </w:r>
      <w:r w:rsidR="00990957">
        <w:rPr>
          <w:rFonts w:eastAsia="Times New Roman" w:cstheme="minorHAnsi"/>
          <w:sz w:val="22"/>
          <w:szCs w:val="22"/>
          <w:lang w:val="en-US"/>
        </w:rPr>
        <w:t>,</w:t>
      </w:r>
      <w:r w:rsidRPr="00990957">
        <w:rPr>
          <w:rFonts w:eastAsia="Times New Roman" w:cstheme="minorHAnsi"/>
          <w:sz w:val="22"/>
          <w:szCs w:val="22"/>
          <w:lang w:val="en-US"/>
        </w:rPr>
        <w:t xml:space="preserve"> Bouchet, </w:t>
      </w:r>
      <w:r w:rsidR="00990957" w:rsidRPr="00990957">
        <w:rPr>
          <w:rFonts w:eastAsia="Times New Roman" w:cstheme="minorHAnsi"/>
          <w:sz w:val="22"/>
          <w:szCs w:val="22"/>
          <w:lang w:val="en-US"/>
        </w:rPr>
        <w:t>V.</w:t>
      </w:r>
      <w:r w:rsidR="00990957">
        <w:rPr>
          <w:rFonts w:eastAsia="Times New Roman" w:cstheme="minorHAnsi"/>
          <w:sz w:val="22"/>
          <w:szCs w:val="22"/>
          <w:lang w:val="en-US"/>
        </w:rPr>
        <w:t>,</w:t>
      </w:r>
      <w:r w:rsidRPr="00990957">
        <w:rPr>
          <w:rFonts w:eastAsia="Times New Roman" w:cstheme="minorHAnsi"/>
          <w:sz w:val="22"/>
          <w:szCs w:val="22"/>
          <w:lang w:val="en-US"/>
        </w:rPr>
        <w:t xml:space="preserve"> Menard, </w:t>
      </w:r>
      <w:r w:rsidR="00990957" w:rsidRPr="00990957">
        <w:rPr>
          <w:rFonts w:eastAsia="Times New Roman" w:cstheme="minorHAnsi"/>
          <w:sz w:val="22"/>
          <w:szCs w:val="22"/>
          <w:lang w:val="en-US"/>
        </w:rPr>
        <w:t>S.</w:t>
      </w:r>
      <w:r w:rsidR="00990957">
        <w:rPr>
          <w:rFonts w:eastAsia="Times New Roman" w:cstheme="minorHAnsi"/>
          <w:sz w:val="22"/>
          <w:szCs w:val="22"/>
          <w:lang w:val="en-US"/>
        </w:rPr>
        <w:t>,</w:t>
      </w:r>
      <w:r w:rsidRPr="00990957">
        <w:rPr>
          <w:rFonts w:eastAsia="Times New Roman" w:cstheme="minorHAnsi"/>
          <w:sz w:val="22"/>
          <w:szCs w:val="22"/>
          <w:lang w:val="en-US"/>
        </w:rPr>
        <w:t xml:space="preserve"> Moffet, </w:t>
      </w:r>
      <w:r w:rsidR="00990957" w:rsidRPr="00990957">
        <w:rPr>
          <w:rFonts w:eastAsia="Times New Roman" w:cstheme="minorHAnsi"/>
          <w:sz w:val="22"/>
          <w:szCs w:val="22"/>
          <w:lang w:val="en-US"/>
        </w:rPr>
        <w:t>R.</w:t>
      </w:r>
      <w:r w:rsidR="00990957">
        <w:rPr>
          <w:rFonts w:eastAsia="Times New Roman" w:cstheme="minorHAnsi"/>
          <w:sz w:val="22"/>
          <w:szCs w:val="22"/>
          <w:lang w:val="en-US"/>
        </w:rPr>
        <w:t>,</w:t>
      </w:r>
      <w:r w:rsidRPr="00990957">
        <w:rPr>
          <w:rFonts w:eastAsia="Times New Roman" w:cstheme="minorHAnsi"/>
          <w:sz w:val="22"/>
          <w:szCs w:val="22"/>
          <w:lang w:val="en-US"/>
        </w:rPr>
        <w:t xml:space="preserve"> McHenry, </w:t>
      </w:r>
      <w:r w:rsidR="00990957" w:rsidRPr="00990957">
        <w:rPr>
          <w:rFonts w:eastAsia="Times New Roman" w:cstheme="minorHAnsi"/>
          <w:sz w:val="22"/>
          <w:szCs w:val="22"/>
          <w:lang w:val="en-US"/>
        </w:rPr>
        <w:t>J.</w:t>
      </w:r>
      <w:r w:rsidR="00990957">
        <w:rPr>
          <w:rFonts w:eastAsia="Times New Roman" w:cstheme="minorHAnsi"/>
          <w:sz w:val="22"/>
          <w:szCs w:val="22"/>
          <w:lang w:val="en-US"/>
        </w:rPr>
        <w:t>,</w:t>
      </w:r>
      <w:r w:rsidRPr="00990957">
        <w:rPr>
          <w:rFonts w:eastAsia="Times New Roman" w:cstheme="minorHAnsi"/>
          <w:sz w:val="22"/>
          <w:szCs w:val="22"/>
          <w:lang w:val="en-US"/>
        </w:rPr>
        <w:t xml:space="preserve"> McQueen, </w:t>
      </w:r>
      <w:r w:rsidR="00990957" w:rsidRPr="00990957">
        <w:rPr>
          <w:rFonts w:eastAsia="Times New Roman" w:cstheme="minorHAnsi"/>
          <w:sz w:val="22"/>
          <w:szCs w:val="22"/>
          <w:lang w:val="en-US"/>
        </w:rPr>
        <w:t>J.</w:t>
      </w:r>
      <w:r w:rsidR="00990957">
        <w:rPr>
          <w:rFonts w:eastAsia="Times New Roman" w:cstheme="minorHAnsi"/>
          <w:sz w:val="22"/>
          <w:szCs w:val="22"/>
          <w:lang w:val="en-US"/>
        </w:rPr>
        <w:t>,</w:t>
      </w:r>
      <w:r w:rsidRPr="00990957">
        <w:rPr>
          <w:rFonts w:eastAsia="Times New Roman" w:cstheme="minorHAnsi"/>
          <w:sz w:val="22"/>
          <w:szCs w:val="22"/>
          <w:lang w:val="en-US"/>
        </w:rPr>
        <w:t xml:space="preserve"> Tang, </w:t>
      </w:r>
      <w:r w:rsidR="00990957" w:rsidRPr="00990957">
        <w:rPr>
          <w:rFonts w:eastAsia="Times New Roman" w:cstheme="minorHAnsi"/>
          <w:sz w:val="22"/>
          <w:szCs w:val="22"/>
          <w:lang w:val="en-US"/>
        </w:rPr>
        <w:t>Y</w:t>
      </w:r>
      <w:r w:rsidRPr="00990957">
        <w:rPr>
          <w:rFonts w:eastAsia="Times New Roman" w:cstheme="minorHAnsi"/>
          <w:sz w:val="22"/>
          <w:szCs w:val="22"/>
          <w:lang w:val="en-US"/>
        </w:rPr>
        <w:t>.</w:t>
      </w:r>
      <w:r w:rsidR="00990957">
        <w:rPr>
          <w:rFonts w:eastAsia="Times New Roman" w:cstheme="minorHAnsi"/>
          <w:sz w:val="22"/>
          <w:szCs w:val="22"/>
          <w:lang w:val="en-US"/>
        </w:rPr>
        <w:t>,</w:t>
      </w:r>
      <w:r w:rsidRPr="00990957">
        <w:rPr>
          <w:rFonts w:eastAsia="Times New Roman" w:cstheme="minorHAnsi"/>
          <w:sz w:val="22"/>
          <w:szCs w:val="22"/>
          <w:lang w:val="en-US"/>
        </w:rPr>
        <w:t xml:space="preserve"> Carmichael, </w:t>
      </w:r>
      <w:r w:rsidR="00990957" w:rsidRPr="00990957">
        <w:rPr>
          <w:rFonts w:eastAsia="Times New Roman" w:cstheme="minorHAnsi"/>
          <w:sz w:val="22"/>
          <w:szCs w:val="22"/>
          <w:lang w:val="en-US"/>
        </w:rPr>
        <w:t>G. R</w:t>
      </w:r>
      <w:r w:rsidR="00990957">
        <w:rPr>
          <w:rFonts w:eastAsia="Times New Roman" w:cstheme="minorHAnsi"/>
          <w:sz w:val="22"/>
          <w:szCs w:val="22"/>
          <w:lang w:val="en-US"/>
        </w:rPr>
        <w:t>.,</w:t>
      </w:r>
      <w:r w:rsidR="00990957" w:rsidRPr="00990957">
        <w:rPr>
          <w:rFonts w:eastAsia="Times New Roman" w:cstheme="minorHAnsi"/>
          <w:sz w:val="22"/>
          <w:szCs w:val="22"/>
          <w:lang w:val="en-US"/>
        </w:rPr>
        <w:t xml:space="preserve"> </w:t>
      </w:r>
      <w:r w:rsidRPr="00990957">
        <w:rPr>
          <w:rFonts w:eastAsia="Times New Roman" w:cstheme="minorHAnsi"/>
          <w:sz w:val="22"/>
          <w:szCs w:val="22"/>
          <w:lang w:val="en-US"/>
        </w:rPr>
        <w:t xml:space="preserve">Pagowski, </w:t>
      </w:r>
      <w:r w:rsidR="00990957" w:rsidRPr="00990957">
        <w:rPr>
          <w:rFonts w:eastAsia="Times New Roman" w:cstheme="minorHAnsi"/>
          <w:sz w:val="22"/>
          <w:szCs w:val="22"/>
          <w:lang w:val="en-US"/>
        </w:rPr>
        <w:t>M.</w:t>
      </w:r>
      <w:r w:rsidR="00990957">
        <w:rPr>
          <w:rFonts w:eastAsia="Times New Roman" w:cstheme="minorHAnsi"/>
          <w:sz w:val="22"/>
          <w:szCs w:val="22"/>
          <w:lang w:val="en-US"/>
        </w:rPr>
        <w:t>,</w:t>
      </w:r>
      <w:r w:rsidRPr="00990957">
        <w:rPr>
          <w:rFonts w:eastAsia="Times New Roman" w:cstheme="minorHAnsi"/>
          <w:sz w:val="22"/>
          <w:szCs w:val="22"/>
          <w:lang w:val="en-US"/>
        </w:rPr>
        <w:t xml:space="preserve"> Chan, </w:t>
      </w:r>
      <w:r w:rsidR="00990957" w:rsidRPr="00990957">
        <w:rPr>
          <w:rFonts w:eastAsia="Times New Roman" w:cstheme="minorHAnsi"/>
          <w:sz w:val="22"/>
          <w:szCs w:val="22"/>
          <w:lang w:val="en-US"/>
        </w:rPr>
        <w:t>A.</w:t>
      </w:r>
      <w:r w:rsidR="00990957">
        <w:rPr>
          <w:rFonts w:eastAsia="Times New Roman" w:cstheme="minorHAnsi"/>
          <w:sz w:val="22"/>
          <w:szCs w:val="22"/>
          <w:lang w:val="en-US"/>
        </w:rPr>
        <w:t>,</w:t>
      </w:r>
      <w:r w:rsidRPr="00990957">
        <w:rPr>
          <w:rFonts w:eastAsia="Times New Roman" w:cstheme="minorHAnsi"/>
          <w:sz w:val="22"/>
          <w:szCs w:val="22"/>
          <w:lang w:val="en-US"/>
        </w:rPr>
        <w:t xml:space="preserve"> Dye</w:t>
      </w:r>
      <w:r w:rsidR="00990957">
        <w:rPr>
          <w:rFonts w:eastAsia="Times New Roman" w:cstheme="minorHAnsi"/>
          <w:sz w:val="22"/>
          <w:szCs w:val="22"/>
          <w:lang w:val="en-US"/>
        </w:rPr>
        <w:t>,</w:t>
      </w:r>
      <w:r w:rsidR="00990957" w:rsidRPr="00990957">
        <w:rPr>
          <w:rFonts w:eastAsia="Times New Roman" w:cstheme="minorHAnsi"/>
          <w:sz w:val="22"/>
          <w:szCs w:val="22"/>
          <w:lang w:val="en-US"/>
        </w:rPr>
        <w:t xml:space="preserve"> T.</w:t>
      </w:r>
      <w:r w:rsidRPr="00990957">
        <w:rPr>
          <w:rFonts w:eastAsia="Times New Roman" w:cstheme="minorHAnsi"/>
          <w:sz w:val="22"/>
          <w:szCs w:val="22"/>
          <w:lang w:val="en-US"/>
        </w:rPr>
        <w:t xml:space="preserve">, Frost, </w:t>
      </w:r>
      <w:r w:rsidR="00990957" w:rsidRPr="00990957">
        <w:rPr>
          <w:rFonts w:eastAsia="Times New Roman" w:cstheme="minorHAnsi"/>
          <w:sz w:val="22"/>
          <w:szCs w:val="22"/>
          <w:lang w:val="en-US"/>
        </w:rPr>
        <w:t>G.</w:t>
      </w:r>
      <w:r w:rsidR="00990957">
        <w:rPr>
          <w:rFonts w:eastAsia="Times New Roman" w:cstheme="minorHAnsi"/>
          <w:sz w:val="22"/>
          <w:szCs w:val="22"/>
          <w:lang w:val="en-US"/>
        </w:rPr>
        <w:t>,</w:t>
      </w:r>
      <w:r w:rsidRPr="00990957">
        <w:rPr>
          <w:rFonts w:eastAsia="Times New Roman" w:cstheme="minorHAnsi"/>
          <w:sz w:val="22"/>
          <w:szCs w:val="22"/>
          <w:lang w:val="en-US"/>
        </w:rPr>
        <w:t xml:space="preserve"> Lee, </w:t>
      </w:r>
      <w:r w:rsidR="00990957" w:rsidRPr="00990957">
        <w:rPr>
          <w:rFonts w:eastAsia="Times New Roman" w:cstheme="minorHAnsi"/>
          <w:sz w:val="22"/>
          <w:szCs w:val="22"/>
          <w:lang w:val="en-US"/>
        </w:rPr>
        <w:t>P.</w:t>
      </w:r>
      <w:r w:rsidR="00990957">
        <w:rPr>
          <w:rFonts w:eastAsia="Times New Roman" w:cstheme="minorHAnsi"/>
          <w:sz w:val="22"/>
          <w:szCs w:val="22"/>
          <w:lang w:val="en-US"/>
        </w:rPr>
        <w:t xml:space="preserve"> </w:t>
      </w:r>
      <w:r w:rsidRPr="00990957">
        <w:rPr>
          <w:rFonts w:eastAsia="Times New Roman" w:cstheme="minorHAnsi"/>
          <w:sz w:val="22"/>
          <w:szCs w:val="22"/>
          <w:lang w:val="en-US"/>
        </w:rPr>
        <w:t>and Mathur</w:t>
      </w:r>
      <w:r w:rsidR="00990957" w:rsidRPr="00990957">
        <w:rPr>
          <w:rFonts w:eastAsia="Times New Roman" w:cstheme="minorHAnsi"/>
          <w:sz w:val="22"/>
          <w:szCs w:val="22"/>
          <w:lang w:val="en-US"/>
        </w:rPr>
        <w:t xml:space="preserve"> R.</w:t>
      </w:r>
      <w:r w:rsidRPr="00990957">
        <w:rPr>
          <w:rFonts w:eastAsia="Times New Roman" w:cstheme="minorHAnsi"/>
          <w:sz w:val="22"/>
          <w:szCs w:val="22"/>
          <w:lang w:val="en-US"/>
        </w:rPr>
        <w:t xml:space="preserve">, </w:t>
      </w:r>
      <w:r w:rsidRPr="00990957">
        <w:rPr>
          <w:rFonts w:cstheme="minorHAnsi"/>
          <w:sz w:val="22"/>
          <w:szCs w:val="22"/>
        </w:rPr>
        <w:t xml:space="preserve">Assessment of an ensemble of seven real-time ozone forecasts over Eastern North America during the summer of 2004, </w:t>
      </w:r>
      <w:r w:rsidRPr="002A0EE6">
        <w:rPr>
          <w:rFonts w:cstheme="minorHAnsi"/>
          <w:sz w:val="22"/>
          <w:szCs w:val="22"/>
        </w:rPr>
        <w:t>J. Geophys. Res., 110</w:t>
      </w:r>
      <w:r w:rsidRPr="00990957">
        <w:rPr>
          <w:rFonts w:cstheme="minorHAnsi"/>
          <w:sz w:val="22"/>
          <w:szCs w:val="22"/>
        </w:rPr>
        <w:t>, D21307, doi: 10.129/2005JD008888, 2005.</w:t>
      </w:r>
    </w:p>
    <w:p w:rsidR="00F6191F" w:rsidRPr="00990957" w:rsidRDefault="00E5706D">
      <w:pPr>
        <w:spacing w:before="120"/>
        <w:ind w:left="450" w:hanging="450"/>
        <w:jc w:val="both"/>
        <w:rPr>
          <w:sz w:val="22"/>
          <w:szCs w:val="22"/>
        </w:rPr>
      </w:pPr>
      <w:r w:rsidRPr="00990957">
        <w:rPr>
          <w:color w:val="000000"/>
          <w:sz w:val="22"/>
          <w:szCs w:val="22"/>
        </w:rPr>
        <w:t xml:space="preserve">Menut L, Bessagnet, </w:t>
      </w:r>
      <w:r w:rsidR="006A21AD" w:rsidRPr="00990957">
        <w:rPr>
          <w:color w:val="000000"/>
          <w:sz w:val="22"/>
          <w:szCs w:val="22"/>
        </w:rPr>
        <w:t>B.</w:t>
      </w:r>
      <w:r w:rsidR="006A21AD">
        <w:rPr>
          <w:color w:val="000000"/>
          <w:sz w:val="22"/>
          <w:szCs w:val="22"/>
        </w:rPr>
        <w:t>,</w:t>
      </w:r>
      <w:r w:rsidRPr="00990957">
        <w:rPr>
          <w:color w:val="000000"/>
          <w:sz w:val="22"/>
          <w:szCs w:val="22"/>
        </w:rPr>
        <w:t xml:space="preserve"> Khvorostyanov, </w:t>
      </w:r>
      <w:r w:rsidR="006A21AD" w:rsidRPr="00990957">
        <w:rPr>
          <w:color w:val="000000"/>
          <w:sz w:val="22"/>
          <w:szCs w:val="22"/>
        </w:rPr>
        <w:t>D.</w:t>
      </w:r>
      <w:r w:rsidR="006A21AD">
        <w:rPr>
          <w:color w:val="000000"/>
          <w:sz w:val="22"/>
          <w:szCs w:val="22"/>
        </w:rPr>
        <w:t>,</w:t>
      </w:r>
      <w:r w:rsidRPr="00990957">
        <w:rPr>
          <w:color w:val="000000"/>
          <w:sz w:val="22"/>
          <w:szCs w:val="22"/>
        </w:rPr>
        <w:t xml:space="preserve"> Beekmann, </w:t>
      </w:r>
      <w:r w:rsidR="006A21AD" w:rsidRPr="00990957">
        <w:rPr>
          <w:color w:val="000000"/>
          <w:sz w:val="22"/>
          <w:szCs w:val="22"/>
        </w:rPr>
        <w:t>M.</w:t>
      </w:r>
      <w:r w:rsidR="006A21AD">
        <w:rPr>
          <w:color w:val="000000"/>
          <w:sz w:val="22"/>
          <w:szCs w:val="22"/>
        </w:rPr>
        <w:t>,</w:t>
      </w:r>
      <w:r w:rsidRPr="00990957">
        <w:rPr>
          <w:color w:val="000000"/>
          <w:sz w:val="22"/>
          <w:szCs w:val="22"/>
        </w:rPr>
        <w:t xml:space="preserve"> Blond, </w:t>
      </w:r>
      <w:r w:rsidR="006A21AD" w:rsidRPr="00990957">
        <w:rPr>
          <w:color w:val="000000"/>
          <w:sz w:val="22"/>
          <w:szCs w:val="22"/>
        </w:rPr>
        <w:t>N.</w:t>
      </w:r>
      <w:r w:rsidR="006A21AD">
        <w:rPr>
          <w:color w:val="000000"/>
          <w:sz w:val="22"/>
          <w:szCs w:val="22"/>
        </w:rPr>
        <w:t>,</w:t>
      </w:r>
      <w:r w:rsidR="006A21AD" w:rsidRPr="00990957">
        <w:rPr>
          <w:color w:val="000000"/>
          <w:sz w:val="22"/>
          <w:szCs w:val="22"/>
        </w:rPr>
        <w:t xml:space="preserve"> </w:t>
      </w:r>
      <w:r w:rsidRPr="00990957">
        <w:rPr>
          <w:color w:val="000000"/>
          <w:sz w:val="22"/>
          <w:szCs w:val="22"/>
        </w:rPr>
        <w:t xml:space="preserve">Colette, </w:t>
      </w:r>
      <w:r w:rsidR="006A21AD" w:rsidRPr="00990957">
        <w:rPr>
          <w:color w:val="000000"/>
          <w:sz w:val="22"/>
          <w:szCs w:val="22"/>
        </w:rPr>
        <w:t>A.</w:t>
      </w:r>
      <w:r w:rsidR="006A21AD">
        <w:rPr>
          <w:color w:val="000000"/>
          <w:sz w:val="22"/>
          <w:szCs w:val="22"/>
        </w:rPr>
        <w:t>,</w:t>
      </w:r>
      <w:r w:rsidRPr="00990957">
        <w:rPr>
          <w:color w:val="000000"/>
          <w:sz w:val="22"/>
          <w:szCs w:val="22"/>
        </w:rPr>
        <w:t xml:space="preserve"> Coll, </w:t>
      </w:r>
      <w:r w:rsidR="006A21AD" w:rsidRPr="00990957">
        <w:rPr>
          <w:color w:val="000000"/>
          <w:sz w:val="22"/>
          <w:szCs w:val="22"/>
        </w:rPr>
        <w:t>I.</w:t>
      </w:r>
      <w:r w:rsidR="006A21AD">
        <w:rPr>
          <w:color w:val="000000"/>
          <w:sz w:val="22"/>
          <w:szCs w:val="22"/>
        </w:rPr>
        <w:t>,</w:t>
      </w:r>
      <w:r w:rsidR="006A21AD" w:rsidRPr="00990957">
        <w:rPr>
          <w:color w:val="000000"/>
          <w:sz w:val="22"/>
          <w:szCs w:val="22"/>
        </w:rPr>
        <w:t xml:space="preserve"> </w:t>
      </w:r>
      <w:r w:rsidRPr="00990957">
        <w:rPr>
          <w:color w:val="000000"/>
          <w:sz w:val="22"/>
          <w:szCs w:val="22"/>
        </w:rPr>
        <w:t xml:space="preserve">Curci, </w:t>
      </w:r>
      <w:r w:rsidR="006A21AD" w:rsidRPr="00990957">
        <w:rPr>
          <w:color w:val="000000"/>
          <w:sz w:val="22"/>
          <w:szCs w:val="22"/>
        </w:rPr>
        <w:t>G.</w:t>
      </w:r>
      <w:r w:rsidR="006A21AD">
        <w:rPr>
          <w:color w:val="000000"/>
          <w:sz w:val="22"/>
          <w:szCs w:val="22"/>
        </w:rPr>
        <w:t>,</w:t>
      </w:r>
      <w:r w:rsidRPr="00990957">
        <w:rPr>
          <w:color w:val="000000"/>
          <w:sz w:val="22"/>
          <w:szCs w:val="22"/>
        </w:rPr>
        <w:t xml:space="preserve"> Foret, </w:t>
      </w:r>
      <w:r w:rsidR="006A21AD" w:rsidRPr="00990957">
        <w:rPr>
          <w:color w:val="000000"/>
          <w:sz w:val="22"/>
          <w:szCs w:val="22"/>
        </w:rPr>
        <w:t>G.</w:t>
      </w:r>
      <w:r w:rsidR="006A21AD">
        <w:rPr>
          <w:color w:val="000000"/>
          <w:sz w:val="22"/>
          <w:szCs w:val="22"/>
        </w:rPr>
        <w:t>,</w:t>
      </w:r>
      <w:r w:rsidRPr="00990957">
        <w:rPr>
          <w:color w:val="000000"/>
          <w:sz w:val="22"/>
          <w:szCs w:val="22"/>
        </w:rPr>
        <w:t xml:space="preserve"> Hodzic, </w:t>
      </w:r>
      <w:r w:rsidR="006A21AD" w:rsidRPr="00990957">
        <w:rPr>
          <w:color w:val="000000"/>
          <w:sz w:val="22"/>
          <w:szCs w:val="22"/>
        </w:rPr>
        <w:t>A.</w:t>
      </w:r>
      <w:r w:rsidR="006A21AD">
        <w:rPr>
          <w:color w:val="000000"/>
          <w:sz w:val="22"/>
          <w:szCs w:val="22"/>
        </w:rPr>
        <w:t>,</w:t>
      </w:r>
      <w:r w:rsidRPr="00990957">
        <w:rPr>
          <w:color w:val="000000"/>
          <w:sz w:val="22"/>
          <w:szCs w:val="22"/>
        </w:rPr>
        <w:t xml:space="preserve"> Mailler, </w:t>
      </w:r>
      <w:r w:rsidR="006A21AD" w:rsidRPr="00990957">
        <w:rPr>
          <w:color w:val="000000"/>
          <w:sz w:val="22"/>
          <w:szCs w:val="22"/>
        </w:rPr>
        <w:t>S.</w:t>
      </w:r>
      <w:r w:rsidR="006A21AD">
        <w:rPr>
          <w:color w:val="000000"/>
          <w:sz w:val="22"/>
          <w:szCs w:val="22"/>
        </w:rPr>
        <w:t>,</w:t>
      </w:r>
      <w:r w:rsidRPr="00990957">
        <w:rPr>
          <w:color w:val="000000"/>
          <w:sz w:val="22"/>
          <w:szCs w:val="22"/>
        </w:rPr>
        <w:t xml:space="preserve"> Meleux, </w:t>
      </w:r>
      <w:r w:rsidR="006A21AD" w:rsidRPr="00990957">
        <w:rPr>
          <w:color w:val="000000"/>
          <w:sz w:val="22"/>
          <w:szCs w:val="22"/>
        </w:rPr>
        <w:t>F.</w:t>
      </w:r>
      <w:r w:rsidR="006A21AD">
        <w:rPr>
          <w:color w:val="000000"/>
          <w:sz w:val="22"/>
          <w:szCs w:val="22"/>
        </w:rPr>
        <w:t>,</w:t>
      </w:r>
      <w:r w:rsidRPr="00990957">
        <w:rPr>
          <w:color w:val="000000"/>
          <w:sz w:val="22"/>
          <w:szCs w:val="22"/>
        </w:rPr>
        <w:t xml:space="preserve"> Monge, </w:t>
      </w:r>
      <w:r w:rsidR="006A21AD" w:rsidRPr="00990957">
        <w:rPr>
          <w:color w:val="000000"/>
          <w:sz w:val="22"/>
          <w:szCs w:val="22"/>
        </w:rPr>
        <w:t>J. L.</w:t>
      </w:r>
      <w:r w:rsidR="006A21AD">
        <w:rPr>
          <w:color w:val="000000"/>
          <w:sz w:val="22"/>
          <w:szCs w:val="22"/>
        </w:rPr>
        <w:t>,</w:t>
      </w:r>
      <w:r w:rsidR="006A21AD" w:rsidRPr="00990957">
        <w:rPr>
          <w:color w:val="000000"/>
          <w:sz w:val="22"/>
          <w:szCs w:val="22"/>
        </w:rPr>
        <w:t xml:space="preserve"> </w:t>
      </w:r>
      <w:r w:rsidRPr="00990957">
        <w:rPr>
          <w:color w:val="000000"/>
          <w:sz w:val="22"/>
          <w:szCs w:val="22"/>
        </w:rPr>
        <w:t xml:space="preserve">Pison, </w:t>
      </w:r>
      <w:r w:rsidR="006A21AD" w:rsidRPr="00990957">
        <w:rPr>
          <w:color w:val="000000"/>
          <w:sz w:val="22"/>
          <w:szCs w:val="22"/>
        </w:rPr>
        <w:t>I.</w:t>
      </w:r>
      <w:r w:rsidR="006A21AD">
        <w:rPr>
          <w:color w:val="000000"/>
          <w:sz w:val="22"/>
          <w:szCs w:val="22"/>
        </w:rPr>
        <w:t>,</w:t>
      </w:r>
      <w:r w:rsidRPr="00990957">
        <w:rPr>
          <w:color w:val="000000"/>
          <w:sz w:val="22"/>
          <w:szCs w:val="22"/>
        </w:rPr>
        <w:t xml:space="preserve"> Siour, </w:t>
      </w:r>
      <w:r w:rsidR="006A21AD" w:rsidRPr="00990957">
        <w:rPr>
          <w:color w:val="000000"/>
          <w:sz w:val="22"/>
          <w:szCs w:val="22"/>
        </w:rPr>
        <w:t>G.</w:t>
      </w:r>
      <w:r w:rsidR="006A21AD">
        <w:rPr>
          <w:color w:val="000000"/>
          <w:sz w:val="22"/>
          <w:szCs w:val="22"/>
        </w:rPr>
        <w:t>,</w:t>
      </w:r>
      <w:r w:rsidRPr="00990957">
        <w:rPr>
          <w:color w:val="000000"/>
          <w:sz w:val="22"/>
          <w:szCs w:val="22"/>
        </w:rPr>
        <w:t xml:space="preserve"> Turquety,</w:t>
      </w:r>
      <w:r w:rsidRPr="00BB0610">
        <w:rPr>
          <w:color w:val="000000"/>
          <w:sz w:val="22"/>
          <w:szCs w:val="22"/>
        </w:rPr>
        <w:t xml:space="preserve"> </w:t>
      </w:r>
      <w:r w:rsidR="006A21AD" w:rsidRPr="00990957">
        <w:rPr>
          <w:color w:val="000000"/>
          <w:sz w:val="22"/>
          <w:szCs w:val="22"/>
        </w:rPr>
        <w:t>S.</w:t>
      </w:r>
      <w:r w:rsidR="006A21AD">
        <w:rPr>
          <w:color w:val="000000"/>
          <w:sz w:val="22"/>
          <w:szCs w:val="22"/>
        </w:rPr>
        <w:t>,</w:t>
      </w:r>
      <w:r w:rsidRPr="00BB0610">
        <w:rPr>
          <w:color w:val="000000"/>
          <w:sz w:val="22"/>
          <w:szCs w:val="22"/>
        </w:rPr>
        <w:t xml:space="preserve"> Valari, </w:t>
      </w:r>
      <w:r w:rsidR="006A21AD" w:rsidRPr="00BB0610">
        <w:rPr>
          <w:color w:val="000000"/>
          <w:sz w:val="22"/>
          <w:szCs w:val="22"/>
        </w:rPr>
        <w:t>M.</w:t>
      </w:r>
      <w:r w:rsidR="006A21AD">
        <w:rPr>
          <w:color w:val="000000"/>
          <w:sz w:val="22"/>
          <w:szCs w:val="22"/>
        </w:rPr>
        <w:t>,</w:t>
      </w:r>
      <w:r w:rsidRPr="00BB0610">
        <w:rPr>
          <w:color w:val="000000"/>
          <w:sz w:val="22"/>
          <w:szCs w:val="22"/>
        </w:rPr>
        <w:t xml:space="preserve"> Vautard </w:t>
      </w:r>
      <w:r w:rsidR="006A21AD" w:rsidRPr="00BB0610">
        <w:rPr>
          <w:color w:val="000000"/>
          <w:sz w:val="22"/>
          <w:szCs w:val="22"/>
        </w:rPr>
        <w:t>R.</w:t>
      </w:r>
      <w:r w:rsidR="006A21AD">
        <w:rPr>
          <w:color w:val="000000"/>
          <w:sz w:val="22"/>
          <w:szCs w:val="22"/>
        </w:rPr>
        <w:t xml:space="preserve"> </w:t>
      </w:r>
      <w:r w:rsidRPr="00BB0610">
        <w:rPr>
          <w:color w:val="000000"/>
          <w:sz w:val="22"/>
          <w:szCs w:val="22"/>
        </w:rPr>
        <w:t xml:space="preserve">and </w:t>
      </w:r>
      <w:r w:rsidR="006A21AD">
        <w:rPr>
          <w:color w:val="000000"/>
          <w:sz w:val="22"/>
          <w:szCs w:val="22"/>
        </w:rPr>
        <w:t>Vivanco</w:t>
      </w:r>
      <w:r w:rsidR="006A21AD" w:rsidRPr="006A21AD">
        <w:rPr>
          <w:color w:val="000000"/>
          <w:sz w:val="22"/>
          <w:szCs w:val="22"/>
        </w:rPr>
        <w:t xml:space="preserve"> </w:t>
      </w:r>
      <w:r w:rsidR="006A21AD" w:rsidRPr="00BB0610">
        <w:rPr>
          <w:color w:val="000000"/>
          <w:sz w:val="22"/>
          <w:szCs w:val="22"/>
        </w:rPr>
        <w:t>M</w:t>
      </w:r>
      <w:r w:rsidR="006A21AD">
        <w:rPr>
          <w:color w:val="000000"/>
          <w:sz w:val="22"/>
          <w:szCs w:val="22"/>
        </w:rPr>
        <w:t>. G.:</w:t>
      </w:r>
      <w:r w:rsidRPr="002A0EE6">
        <w:rPr>
          <w:color w:val="000000"/>
          <w:sz w:val="22"/>
          <w:szCs w:val="22"/>
        </w:rPr>
        <w:t xml:space="preserve"> CHIMERE 2013: a model for regional atmospheric composition modelling, Geoscientific Model Development, 6,</w:t>
      </w:r>
      <w:r w:rsidRPr="00990957">
        <w:rPr>
          <w:color w:val="000000"/>
          <w:sz w:val="22"/>
          <w:szCs w:val="22"/>
        </w:rPr>
        <w:t xml:space="preserve"> 981-1028, doi:10.5194/gmd-6-981-2013</w:t>
      </w:r>
      <w:r w:rsidR="00990957">
        <w:rPr>
          <w:color w:val="000000"/>
          <w:sz w:val="22"/>
          <w:szCs w:val="22"/>
        </w:rPr>
        <w:t xml:space="preserve">, </w:t>
      </w:r>
      <w:r w:rsidR="00990957" w:rsidRPr="00FF7284">
        <w:rPr>
          <w:color w:val="000000"/>
          <w:sz w:val="22"/>
          <w:szCs w:val="22"/>
        </w:rPr>
        <w:t>2013</w:t>
      </w:r>
      <w:r w:rsidR="00990957">
        <w:rPr>
          <w:color w:val="000000"/>
          <w:sz w:val="22"/>
          <w:szCs w:val="22"/>
        </w:rPr>
        <w:t>a</w:t>
      </w:r>
      <w:r w:rsidR="006A21AD">
        <w:rPr>
          <w:color w:val="000000"/>
          <w:sz w:val="22"/>
          <w:szCs w:val="22"/>
        </w:rPr>
        <w:t>.</w:t>
      </w:r>
    </w:p>
    <w:p w:rsidR="00F6191F" w:rsidRPr="00990957" w:rsidRDefault="00E5706D">
      <w:pPr>
        <w:spacing w:before="120"/>
        <w:ind w:left="450" w:hanging="450"/>
        <w:jc w:val="both"/>
        <w:rPr>
          <w:sz w:val="22"/>
          <w:szCs w:val="22"/>
        </w:rPr>
      </w:pPr>
      <w:r w:rsidRPr="00990957">
        <w:rPr>
          <w:color w:val="000000"/>
          <w:sz w:val="22"/>
          <w:szCs w:val="22"/>
        </w:rPr>
        <w:t>Menut, L., Perez Garcia-Pando, C., Haustein, K., Bessagnet, B., Pri</w:t>
      </w:r>
      <w:r w:rsidRPr="00990957">
        <w:rPr>
          <w:sz w:val="22"/>
          <w:szCs w:val="22"/>
        </w:rPr>
        <w:t>gent, C., and Alfaro, S.</w:t>
      </w:r>
      <w:r w:rsidR="002A0EE6">
        <w:rPr>
          <w:sz w:val="22"/>
          <w:szCs w:val="22"/>
        </w:rPr>
        <w:t>:</w:t>
      </w:r>
      <w:r w:rsidRPr="00990957">
        <w:rPr>
          <w:sz w:val="22"/>
          <w:szCs w:val="22"/>
        </w:rPr>
        <w:t xml:space="preserve"> Relative impact of roughness and soil texture on mineral dust emission fluxes modeling, </w:t>
      </w:r>
      <w:r w:rsidRPr="002A0EE6">
        <w:rPr>
          <w:sz w:val="22"/>
          <w:szCs w:val="22"/>
        </w:rPr>
        <w:t>J. Geophys. Res., 118,</w:t>
      </w:r>
      <w:r w:rsidRPr="00990957">
        <w:rPr>
          <w:sz w:val="22"/>
          <w:szCs w:val="22"/>
        </w:rPr>
        <w:t xml:space="preserve"> 6505–6520, doi:10.1002/jgrd.50313, 2013b</w:t>
      </w:r>
      <w:r w:rsidR="006A21AD">
        <w:rPr>
          <w:sz w:val="22"/>
          <w:szCs w:val="22"/>
        </w:rPr>
        <w:t>.</w:t>
      </w:r>
    </w:p>
    <w:p w:rsidR="00F6191F" w:rsidRPr="00990957" w:rsidRDefault="00E5706D">
      <w:pPr>
        <w:spacing w:before="120"/>
        <w:ind w:left="450" w:hanging="450"/>
        <w:jc w:val="both"/>
        <w:rPr>
          <w:rFonts w:cs="Arial"/>
          <w:sz w:val="22"/>
          <w:szCs w:val="22"/>
        </w:rPr>
      </w:pPr>
      <w:r w:rsidRPr="00990957">
        <w:rPr>
          <w:rFonts w:eastAsia="Times New Roman" w:cs="Times New Roman"/>
          <w:sz w:val="22"/>
          <w:szCs w:val="22"/>
        </w:rPr>
        <w:t>Monahan E.C., Spiel D.E., Davidson K.L., A Model of Marine Aerosol Generation Via Whitecaps and Wave Disruption. In: Monahan E.C., Niocaill G.M. (eds) Oceanic Whitecaps. Oceanographic Sciences Library, vol 2. Springer, Dordrecht, 1986.</w:t>
      </w:r>
    </w:p>
    <w:p w:rsidR="00F6191F" w:rsidRPr="00990957" w:rsidRDefault="00E5706D">
      <w:pPr>
        <w:spacing w:before="120"/>
        <w:ind w:left="450" w:hanging="450"/>
        <w:jc w:val="both"/>
        <w:rPr>
          <w:rFonts w:cs="Arial"/>
          <w:sz w:val="22"/>
          <w:szCs w:val="22"/>
        </w:rPr>
      </w:pPr>
      <w:r w:rsidRPr="00BB0610">
        <w:rPr>
          <w:rFonts w:cs="Arial"/>
          <w:sz w:val="22"/>
          <w:szCs w:val="22"/>
        </w:rPr>
        <w:t>Morcrette, J.-J., Bouc</w:t>
      </w:r>
      <w:r w:rsidR="002A0EE6">
        <w:rPr>
          <w:rFonts w:cs="Arial"/>
          <w:sz w:val="22"/>
          <w:szCs w:val="22"/>
        </w:rPr>
        <w:t>her, O., Jones, L., Salmond, D.</w:t>
      </w:r>
      <w:r w:rsidRPr="00BB0610">
        <w:rPr>
          <w:rFonts w:cs="Arial"/>
          <w:sz w:val="22"/>
          <w:szCs w:val="22"/>
        </w:rPr>
        <w:t>, Bechtold, P., Beljaars, A., Benedetti, A., Bonet, A., Kaiser</w:t>
      </w:r>
      <w:r w:rsidRPr="002A0EE6">
        <w:rPr>
          <w:rFonts w:cs="Arial"/>
          <w:sz w:val="22"/>
          <w:szCs w:val="22"/>
        </w:rPr>
        <w:t xml:space="preserve">, J. W., Razinger, M., Schulz, </w:t>
      </w:r>
      <w:proofErr w:type="gramStart"/>
      <w:r w:rsidRPr="002A0EE6">
        <w:rPr>
          <w:rFonts w:cs="Arial"/>
          <w:sz w:val="22"/>
          <w:szCs w:val="22"/>
        </w:rPr>
        <w:t>M. ,</w:t>
      </w:r>
      <w:proofErr w:type="gramEnd"/>
      <w:r w:rsidRPr="002A0EE6">
        <w:rPr>
          <w:rFonts w:cs="Arial"/>
          <w:sz w:val="22"/>
          <w:szCs w:val="22"/>
        </w:rPr>
        <w:t xml:space="preserve"> Serrar, S. , Simmons, A. J., Sofiev, M., Suttie, M.</w:t>
      </w:r>
      <w:r w:rsidR="002A0EE6">
        <w:rPr>
          <w:rFonts w:cs="Arial"/>
          <w:sz w:val="22"/>
          <w:szCs w:val="22"/>
        </w:rPr>
        <w:t>, Tompkins, A. M. and Untch</w:t>
      </w:r>
      <w:r w:rsidR="006A21AD">
        <w:rPr>
          <w:rFonts w:cs="Arial"/>
          <w:sz w:val="22"/>
          <w:szCs w:val="22"/>
        </w:rPr>
        <w:t>,</w:t>
      </w:r>
      <w:r w:rsidR="002A0EE6">
        <w:rPr>
          <w:rFonts w:cs="Arial"/>
          <w:sz w:val="22"/>
          <w:szCs w:val="22"/>
        </w:rPr>
        <w:t xml:space="preserve"> A.</w:t>
      </w:r>
      <w:r w:rsidR="006A21AD">
        <w:rPr>
          <w:rFonts w:cs="Arial"/>
          <w:sz w:val="22"/>
          <w:szCs w:val="22"/>
        </w:rPr>
        <w:t>:</w:t>
      </w:r>
      <w:r w:rsidRPr="002A0EE6">
        <w:rPr>
          <w:rFonts w:cs="Arial"/>
          <w:sz w:val="22"/>
          <w:szCs w:val="22"/>
        </w:rPr>
        <w:t xml:space="preserve"> Aerosol analysis and forecast in the ECMWF Integrated Forecast System. Part I: Forward modelling, J. Geophys. Res.</w:t>
      </w:r>
      <w:r w:rsidRPr="00990957">
        <w:rPr>
          <w:rFonts w:cs="Arial"/>
          <w:sz w:val="22"/>
          <w:szCs w:val="22"/>
        </w:rPr>
        <w:t>, 2009.</w:t>
      </w:r>
    </w:p>
    <w:p w:rsidR="00F6191F" w:rsidRPr="00990957" w:rsidRDefault="00E5706D">
      <w:pPr>
        <w:spacing w:before="120"/>
        <w:ind w:left="450" w:hanging="450"/>
        <w:jc w:val="both"/>
        <w:rPr>
          <w:rFonts w:cs="Times New Roman"/>
          <w:color w:val="000000"/>
          <w:sz w:val="22"/>
          <w:szCs w:val="22"/>
        </w:rPr>
      </w:pPr>
      <w:r w:rsidRPr="00990957">
        <w:rPr>
          <w:rFonts w:cs="Arial"/>
          <w:color w:val="000000"/>
          <w:sz w:val="22"/>
          <w:szCs w:val="22"/>
        </w:rPr>
        <w:t xml:space="preserve">Muntean, M, Janssens-Maenhout, </w:t>
      </w:r>
      <w:r w:rsidR="00990957" w:rsidRPr="00990957">
        <w:rPr>
          <w:rFonts w:cs="Arial"/>
          <w:color w:val="000000"/>
          <w:sz w:val="22"/>
          <w:szCs w:val="22"/>
        </w:rPr>
        <w:t>G.</w:t>
      </w:r>
      <w:r w:rsidR="00990957">
        <w:rPr>
          <w:rFonts w:cs="Arial"/>
          <w:color w:val="000000"/>
          <w:sz w:val="22"/>
          <w:szCs w:val="22"/>
        </w:rPr>
        <w:t>,</w:t>
      </w:r>
      <w:r w:rsidRPr="00990957">
        <w:rPr>
          <w:rFonts w:cs="Arial"/>
          <w:color w:val="000000"/>
          <w:sz w:val="22"/>
          <w:szCs w:val="22"/>
        </w:rPr>
        <w:t xml:space="preserve"> Song, </w:t>
      </w:r>
      <w:r w:rsidR="00990957" w:rsidRPr="00990957">
        <w:rPr>
          <w:rFonts w:cs="Arial"/>
          <w:color w:val="000000"/>
          <w:sz w:val="22"/>
          <w:szCs w:val="22"/>
        </w:rPr>
        <w:t>S.</w:t>
      </w:r>
      <w:r w:rsidR="00990957">
        <w:rPr>
          <w:rFonts w:cs="Arial"/>
          <w:color w:val="000000"/>
          <w:sz w:val="22"/>
          <w:szCs w:val="22"/>
        </w:rPr>
        <w:t>,</w:t>
      </w:r>
      <w:r w:rsidRPr="00990957">
        <w:rPr>
          <w:rFonts w:cs="Arial"/>
          <w:color w:val="000000"/>
          <w:sz w:val="22"/>
          <w:szCs w:val="22"/>
        </w:rPr>
        <w:t xml:space="preserve"> Selin, </w:t>
      </w:r>
      <w:r w:rsidR="00990957" w:rsidRPr="00990957">
        <w:rPr>
          <w:rFonts w:cs="Arial"/>
          <w:color w:val="000000"/>
          <w:sz w:val="22"/>
          <w:szCs w:val="22"/>
        </w:rPr>
        <w:t>N.E</w:t>
      </w:r>
      <w:r w:rsidR="00990957">
        <w:rPr>
          <w:rFonts w:cs="Arial"/>
          <w:color w:val="000000"/>
          <w:sz w:val="22"/>
          <w:szCs w:val="22"/>
        </w:rPr>
        <w:t>.,</w:t>
      </w:r>
      <w:r w:rsidR="00990957" w:rsidRPr="00990957">
        <w:rPr>
          <w:rFonts w:cs="Arial"/>
          <w:color w:val="000000"/>
          <w:sz w:val="22"/>
          <w:szCs w:val="22"/>
        </w:rPr>
        <w:t xml:space="preserve"> </w:t>
      </w:r>
      <w:r w:rsidRPr="00990957">
        <w:rPr>
          <w:rFonts w:cs="Arial"/>
          <w:color w:val="000000"/>
          <w:sz w:val="22"/>
          <w:szCs w:val="22"/>
        </w:rPr>
        <w:t>Olivier</w:t>
      </w:r>
      <w:r w:rsidR="00990957">
        <w:rPr>
          <w:rFonts w:cs="Arial"/>
          <w:color w:val="000000"/>
          <w:sz w:val="22"/>
          <w:szCs w:val="22"/>
        </w:rPr>
        <w:t>,</w:t>
      </w:r>
      <w:r w:rsidR="00990957" w:rsidRPr="00990957">
        <w:rPr>
          <w:rFonts w:cs="Arial"/>
          <w:color w:val="000000"/>
          <w:sz w:val="22"/>
          <w:szCs w:val="22"/>
        </w:rPr>
        <w:t xml:space="preserve"> J.G.J.</w:t>
      </w:r>
      <w:r w:rsidRPr="00990957">
        <w:rPr>
          <w:rFonts w:cs="Arial"/>
          <w:color w:val="000000"/>
          <w:sz w:val="22"/>
          <w:szCs w:val="22"/>
        </w:rPr>
        <w:t>, Guizzardi</w:t>
      </w:r>
      <w:r w:rsidR="00990957">
        <w:rPr>
          <w:rFonts w:cs="Arial"/>
          <w:color w:val="000000"/>
          <w:sz w:val="22"/>
          <w:szCs w:val="22"/>
        </w:rPr>
        <w:t>,</w:t>
      </w:r>
      <w:r w:rsidR="00990957" w:rsidRPr="00990957">
        <w:rPr>
          <w:rFonts w:cs="Arial"/>
          <w:color w:val="000000"/>
          <w:sz w:val="22"/>
          <w:szCs w:val="22"/>
        </w:rPr>
        <w:t xml:space="preserve"> D.</w:t>
      </w:r>
      <w:r w:rsidRPr="00990957">
        <w:rPr>
          <w:rFonts w:cs="Arial"/>
          <w:color w:val="000000"/>
          <w:sz w:val="22"/>
          <w:szCs w:val="22"/>
        </w:rPr>
        <w:t xml:space="preserve">, Maas, </w:t>
      </w:r>
      <w:r w:rsidR="00990957" w:rsidRPr="00990957">
        <w:rPr>
          <w:rFonts w:cs="Arial"/>
          <w:color w:val="000000"/>
          <w:sz w:val="22"/>
          <w:szCs w:val="22"/>
        </w:rPr>
        <w:t>R.</w:t>
      </w:r>
      <w:r w:rsidRPr="00990957">
        <w:rPr>
          <w:rFonts w:cs="Arial"/>
          <w:color w:val="000000"/>
          <w:sz w:val="22"/>
          <w:szCs w:val="22"/>
        </w:rPr>
        <w:t xml:space="preserve"> </w:t>
      </w:r>
      <w:r w:rsidR="00990957">
        <w:rPr>
          <w:rFonts w:cs="Arial"/>
          <w:color w:val="000000"/>
          <w:sz w:val="22"/>
          <w:szCs w:val="22"/>
        </w:rPr>
        <w:t xml:space="preserve">and </w:t>
      </w:r>
      <w:r w:rsidRPr="00990957">
        <w:rPr>
          <w:rFonts w:cs="Arial"/>
          <w:color w:val="000000"/>
          <w:sz w:val="22"/>
          <w:szCs w:val="22"/>
        </w:rPr>
        <w:t xml:space="preserve">Dentener, </w:t>
      </w:r>
      <w:r w:rsidR="00990957" w:rsidRPr="00990957">
        <w:rPr>
          <w:rFonts w:cs="Arial"/>
          <w:color w:val="000000"/>
          <w:sz w:val="22"/>
          <w:szCs w:val="22"/>
        </w:rPr>
        <w:t>F.</w:t>
      </w:r>
      <w:r w:rsidR="00990957">
        <w:rPr>
          <w:rFonts w:cs="Arial"/>
          <w:color w:val="000000"/>
          <w:sz w:val="22"/>
          <w:szCs w:val="22"/>
        </w:rPr>
        <w:t xml:space="preserve">, </w:t>
      </w:r>
      <w:r w:rsidRPr="00990957">
        <w:rPr>
          <w:rFonts w:cs="Arial"/>
          <w:color w:val="000000"/>
          <w:sz w:val="22"/>
          <w:szCs w:val="22"/>
        </w:rPr>
        <w:t xml:space="preserve">Trend analysis from 1970 to 2008 and model evaluation of EDGARv4 global gridded anthropogenic mercury emissions, </w:t>
      </w:r>
      <w:r w:rsidRPr="002A0EE6">
        <w:rPr>
          <w:rFonts w:cs="Arial"/>
          <w:color w:val="000000"/>
          <w:sz w:val="22"/>
          <w:szCs w:val="22"/>
        </w:rPr>
        <w:t>Science of the Total Environment</w:t>
      </w:r>
      <w:r w:rsidRPr="00990957">
        <w:rPr>
          <w:rFonts w:cs="Arial"/>
          <w:color w:val="000000"/>
          <w:sz w:val="22"/>
          <w:szCs w:val="22"/>
        </w:rPr>
        <w:t>, Vol. 494–495, 1 Oct.</w:t>
      </w:r>
      <w:r w:rsidR="00990957">
        <w:rPr>
          <w:rFonts w:cs="Arial"/>
          <w:color w:val="000000"/>
          <w:sz w:val="22"/>
          <w:szCs w:val="22"/>
        </w:rPr>
        <w:t xml:space="preserve"> </w:t>
      </w:r>
      <w:r w:rsidRPr="00990957">
        <w:rPr>
          <w:rFonts w:cs="Arial"/>
          <w:color w:val="000000"/>
          <w:sz w:val="22"/>
          <w:szCs w:val="22"/>
        </w:rPr>
        <w:t>2014, pp. 337–350 (</w:t>
      </w:r>
      <w:hyperlink r:id="rId75" w:history="1">
        <w:r w:rsidRPr="00990957">
          <w:rPr>
            <w:rStyle w:val="Hyperlink"/>
            <w:rFonts w:cs="Arial"/>
            <w:sz w:val="22"/>
            <w:szCs w:val="22"/>
          </w:rPr>
          <w:t>http://www.sciencedirect.com/science/article/pii/S0048969714008572</w:t>
        </w:r>
      </w:hyperlink>
      <w:r w:rsidRPr="00990957">
        <w:rPr>
          <w:rFonts w:cs="Arial"/>
          <w:color w:val="000000"/>
          <w:sz w:val="22"/>
          <w:szCs w:val="22"/>
        </w:rPr>
        <w:t>)</w:t>
      </w:r>
      <w:r w:rsidR="00990957">
        <w:rPr>
          <w:rFonts w:cs="Arial"/>
          <w:color w:val="000000"/>
          <w:sz w:val="22"/>
          <w:szCs w:val="22"/>
        </w:rPr>
        <w:t>,</w:t>
      </w:r>
      <w:r w:rsidR="00990957" w:rsidRPr="00990957">
        <w:rPr>
          <w:rFonts w:cs="Arial"/>
          <w:color w:val="000000"/>
          <w:sz w:val="22"/>
          <w:szCs w:val="22"/>
        </w:rPr>
        <w:t xml:space="preserve"> 2014</w:t>
      </w:r>
      <w:r w:rsidR="00990957">
        <w:rPr>
          <w:rFonts w:cs="Arial"/>
          <w:color w:val="000000"/>
          <w:sz w:val="22"/>
          <w:szCs w:val="22"/>
        </w:rPr>
        <w:t>.</w:t>
      </w:r>
    </w:p>
    <w:p w:rsidR="00F6191F" w:rsidRPr="00990957" w:rsidRDefault="00E5706D">
      <w:pPr>
        <w:spacing w:before="120"/>
        <w:ind w:left="450" w:hanging="450"/>
        <w:jc w:val="both"/>
        <w:rPr>
          <w:sz w:val="22"/>
          <w:szCs w:val="22"/>
        </w:rPr>
      </w:pPr>
      <w:r w:rsidRPr="00990957">
        <w:rPr>
          <w:color w:val="000000"/>
          <w:sz w:val="22"/>
          <w:szCs w:val="22"/>
        </w:rPr>
        <w:t>Nenes, A., Pilinis, C., and Pandis, S.: ISORROPIA: A new ther</w:t>
      </w:r>
      <w:r w:rsidRPr="00990957">
        <w:rPr>
          <w:sz w:val="22"/>
          <w:szCs w:val="22"/>
        </w:rPr>
        <w:t xml:space="preserve">modynamic model for inorganic multicomponent atmospheric aerosols, </w:t>
      </w:r>
      <w:r w:rsidRPr="002A0EE6">
        <w:rPr>
          <w:sz w:val="22"/>
          <w:szCs w:val="22"/>
        </w:rPr>
        <w:t>Aquat. Geochem., 4,</w:t>
      </w:r>
      <w:r w:rsidRPr="00990957">
        <w:rPr>
          <w:sz w:val="22"/>
          <w:szCs w:val="22"/>
        </w:rPr>
        <w:t xml:space="preserve"> 123–152, 1998.</w:t>
      </w:r>
    </w:p>
    <w:p w:rsidR="00F6191F" w:rsidRPr="00990957" w:rsidRDefault="00E5706D">
      <w:pPr>
        <w:spacing w:before="120"/>
        <w:ind w:left="450" w:hanging="450"/>
        <w:jc w:val="both"/>
        <w:rPr>
          <w:sz w:val="22"/>
          <w:szCs w:val="22"/>
        </w:rPr>
      </w:pPr>
      <w:r w:rsidRPr="00990957">
        <w:rPr>
          <w:sz w:val="22"/>
          <w:szCs w:val="22"/>
        </w:rPr>
        <w:t>Petersen, A. K., Brasseur, G. P., Bouarar, I., Flemming, J., Gauss, M., Jiang F., Kouznetsov, R.,</w:t>
      </w:r>
      <w:r w:rsidRPr="00990957">
        <w:rPr>
          <w:sz w:val="22"/>
          <w:szCs w:val="22"/>
          <w:lang w:val="nl-NL"/>
        </w:rPr>
        <w:t xml:space="preserve"> Kranenburg, R.</w:t>
      </w:r>
      <w:r w:rsidRPr="00990957">
        <w:rPr>
          <w:sz w:val="22"/>
          <w:szCs w:val="22"/>
        </w:rPr>
        <w:t xml:space="preserve">, Mijling, B., Peuch, V.-H., Pommier, M., Segers, A., Sofiev, M., Timmermans, R., van der A, R., Walters, </w:t>
      </w:r>
      <w:r w:rsidR="002A0EE6">
        <w:rPr>
          <w:sz w:val="22"/>
          <w:szCs w:val="22"/>
        </w:rPr>
        <w:t>S., Xie, Y., Xu J. and Zhou, G.:</w:t>
      </w:r>
      <w:r w:rsidRPr="00990957">
        <w:rPr>
          <w:sz w:val="22"/>
          <w:szCs w:val="22"/>
        </w:rPr>
        <w:t xml:space="preserve"> Ensemble Forecasts of Air Quality in Eastern China, Part 2. Evaluation of the Prediction System, Version 1,</w:t>
      </w:r>
      <w:r w:rsidRPr="00990957">
        <w:rPr>
          <w:b/>
          <w:sz w:val="22"/>
          <w:szCs w:val="22"/>
        </w:rPr>
        <w:t xml:space="preserve"> </w:t>
      </w:r>
      <w:r w:rsidRPr="002A0EE6">
        <w:rPr>
          <w:color w:val="000000"/>
          <w:sz w:val="22"/>
          <w:szCs w:val="22"/>
        </w:rPr>
        <w:t xml:space="preserve">Geoscientific Model Development, </w:t>
      </w:r>
      <w:r w:rsidRPr="00990957">
        <w:rPr>
          <w:color w:val="000000"/>
          <w:sz w:val="22"/>
          <w:szCs w:val="22"/>
        </w:rPr>
        <w:t>submitted, 2018.</w:t>
      </w:r>
    </w:p>
    <w:p w:rsidR="00F6191F" w:rsidRPr="00990957" w:rsidRDefault="00E5706D">
      <w:pPr>
        <w:spacing w:before="120"/>
        <w:ind w:left="450" w:hanging="450"/>
        <w:jc w:val="both"/>
        <w:rPr>
          <w:sz w:val="22"/>
          <w:szCs w:val="22"/>
        </w:rPr>
      </w:pPr>
      <w:r w:rsidRPr="00990957">
        <w:rPr>
          <w:sz w:val="22"/>
          <w:szCs w:val="22"/>
        </w:rPr>
        <w:t xml:space="preserve">Poupkou, A., Giannaros, T., Markakis, K., Kioutsioukis, I., Curci, G., Melas, D., and Zerefos, C.: A model for European Biogenic Volatile Organic Compound emissions:  Software development and first validation, </w:t>
      </w:r>
      <w:r w:rsidRPr="002A0EE6">
        <w:rPr>
          <w:sz w:val="22"/>
          <w:szCs w:val="22"/>
        </w:rPr>
        <w:t>Environ. Modell.  Softw</w:t>
      </w:r>
      <w:r w:rsidRPr="00990957">
        <w:rPr>
          <w:sz w:val="22"/>
          <w:szCs w:val="22"/>
        </w:rPr>
        <w:t>., 25, 1845–1856, 2010.</w:t>
      </w:r>
    </w:p>
    <w:p w:rsidR="00F6191F" w:rsidRPr="00990957" w:rsidRDefault="00E5706D">
      <w:pPr>
        <w:pStyle w:val="p1"/>
        <w:spacing w:before="120"/>
        <w:ind w:left="450" w:hanging="450"/>
        <w:jc w:val="both"/>
        <w:rPr>
          <w:rFonts w:asciiTheme="minorHAnsi" w:hAnsiTheme="minorHAnsi" w:cstheme="minorBidi"/>
          <w:sz w:val="22"/>
          <w:szCs w:val="22"/>
          <w:lang w:eastAsia="en-US"/>
        </w:rPr>
      </w:pPr>
      <w:r w:rsidRPr="00990957">
        <w:rPr>
          <w:rFonts w:asciiTheme="minorHAnsi" w:hAnsiTheme="minorHAnsi" w:cstheme="minorBidi"/>
          <w:sz w:val="22"/>
          <w:szCs w:val="22"/>
          <w:lang w:eastAsia="en-US"/>
        </w:rPr>
        <w:t xml:space="preserve">Riccio, A., Giunta, G., and Galmarini, S.: Seeking for the rational basis of the Median Model: the optimal combination of multimodel ensemble results, </w:t>
      </w:r>
      <w:r w:rsidRPr="002A0EE6">
        <w:rPr>
          <w:rFonts w:asciiTheme="minorHAnsi" w:hAnsiTheme="minorHAnsi" w:cstheme="minorBidi"/>
          <w:sz w:val="22"/>
          <w:szCs w:val="22"/>
          <w:lang w:eastAsia="en-US"/>
        </w:rPr>
        <w:t>Atmos. Chem. Phys., 7</w:t>
      </w:r>
      <w:r w:rsidRPr="00990957">
        <w:rPr>
          <w:rFonts w:asciiTheme="minorHAnsi" w:hAnsiTheme="minorHAnsi" w:cstheme="minorBidi"/>
          <w:sz w:val="22"/>
          <w:szCs w:val="22"/>
          <w:lang w:eastAsia="en-US"/>
        </w:rPr>
        <w:t>, 6085–6098, doi:10.5194/acp-7-6085-2007, 2007.</w:t>
      </w:r>
    </w:p>
    <w:p w:rsidR="00F6191F" w:rsidRPr="00990957" w:rsidRDefault="00E5706D">
      <w:pPr>
        <w:autoSpaceDE w:val="0"/>
        <w:autoSpaceDN w:val="0"/>
        <w:adjustRightInd w:val="0"/>
        <w:snapToGrid w:val="0"/>
        <w:spacing w:before="120"/>
        <w:ind w:left="440" w:hanging="440"/>
        <w:jc w:val="both"/>
        <w:rPr>
          <w:sz w:val="22"/>
          <w:szCs w:val="22"/>
        </w:rPr>
      </w:pPr>
      <w:r w:rsidRPr="00990957">
        <w:rPr>
          <w:sz w:val="22"/>
          <w:szCs w:val="22"/>
        </w:rPr>
        <w:t xml:space="preserve">Schell, B., </w:t>
      </w:r>
      <w:r w:rsidR="002A0EE6">
        <w:rPr>
          <w:sz w:val="22"/>
          <w:szCs w:val="22"/>
        </w:rPr>
        <w:t>Ackermann, I., Hass, H., et al.:</w:t>
      </w:r>
      <w:r w:rsidRPr="00990957">
        <w:rPr>
          <w:sz w:val="22"/>
          <w:szCs w:val="22"/>
        </w:rPr>
        <w:t xml:space="preserve"> Modeling the formation of secondary organic aerosol within a comprehensive air quality model system. </w:t>
      </w:r>
      <w:r w:rsidRPr="002A0EE6">
        <w:rPr>
          <w:sz w:val="22"/>
          <w:szCs w:val="22"/>
        </w:rPr>
        <w:t>J. Geophys. Res., 106,</w:t>
      </w:r>
      <w:r w:rsidRPr="00990957">
        <w:rPr>
          <w:sz w:val="22"/>
          <w:szCs w:val="22"/>
        </w:rPr>
        <w:t xml:space="preserve"> 28275-28293, 2001.</w:t>
      </w:r>
    </w:p>
    <w:p w:rsidR="00F6191F" w:rsidRPr="00990957" w:rsidRDefault="00E5706D">
      <w:pPr>
        <w:pStyle w:val="ListParagraph"/>
        <w:spacing w:before="120"/>
        <w:ind w:left="450" w:hanging="450"/>
        <w:jc w:val="both"/>
        <w:rPr>
          <w:sz w:val="22"/>
          <w:szCs w:val="22"/>
        </w:rPr>
      </w:pPr>
      <w:r w:rsidRPr="00990957">
        <w:rPr>
          <w:sz w:val="22"/>
          <w:szCs w:val="22"/>
        </w:rPr>
        <w:t xml:space="preserve">Shrivastava, M., Fast, J., Easter, R., Gustafson Jr., W. I., Zaveri, R. A., Jimenez, J. L., Saide, P., and Hodzic, A.: Modeling organic aerosols in a megacity: comparison of simple and complex representations of the volatility basis set approach, </w:t>
      </w:r>
      <w:r w:rsidRPr="002A0EE6">
        <w:rPr>
          <w:sz w:val="22"/>
          <w:szCs w:val="22"/>
        </w:rPr>
        <w:t>Atmos. Chem. Phys</w:t>
      </w:r>
      <w:r w:rsidRPr="00990957">
        <w:rPr>
          <w:sz w:val="22"/>
          <w:szCs w:val="22"/>
        </w:rPr>
        <w:t>.,</w:t>
      </w:r>
      <w:r w:rsidRPr="002A0EE6">
        <w:rPr>
          <w:sz w:val="22"/>
          <w:szCs w:val="22"/>
        </w:rPr>
        <w:t xml:space="preserve"> 11</w:t>
      </w:r>
      <w:r w:rsidRPr="00990957">
        <w:rPr>
          <w:sz w:val="22"/>
          <w:szCs w:val="22"/>
        </w:rPr>
        <w:t>, 6639-6662, 2011.</w:t>
      </w:r>
    </w:p>
    <w:p w:rsidR="00F6191F" w:rsidRPr="00990957" w:rsidRDefault="00E5706D">
      <w:pPr>
        <w:spacing w:before="120"/>
        <w:ind w:left="450" w:hanging="450"/>
        <w:jc w:val="both"/>
        <w:rPr>
          <w:rFonts w:eastAsia="Times New Roman" w:cs="Times New Roman"/>
          <w:sz w:val="22"/>
          <w:szCs w:val="22"/>
          <w:lang w:eastAsia="nb-NO"/>
        </w:rPr>
      </w:pPr>
      <w:r w:rsidRPr="00990957">
        <w:rPr>
          <w:rFonts w:eastAsia="Times New Roman" w:cs="Times New Roman"/>
          <w:sz w:val="22"/>
          <w:szCs w:val="22"/>
          <w:lang w:eastAsia="nb-NO"/>
        </w:rPr>
        <w:t>Simpson, D., Benedictow, A., Berge, H., Bergström, R., Emberson, L. D., Fagerli, H., Flechard, C. R., Hayman, G. D., Gauss, M., Jonson, J. E., Jenkin, M. E., Nyíri, A., Richter, C., Semeena, V. S., Tsyro, S., Tuovinen, J.-P.</w:t>
      </w:r>
      <w:r w:rsidR="002A0EE6">
        <w:rPr>
          <w:rFonts w:eastAsia="Times New Roman" w:cs="Times New Roman"/>
          <w:sz w:val="22"/>
          <w:szCs w:val="22"/>
          <w:lang w:eastAsia="nb-NO"/>
        </w:rPr>
        <w:t>, Valdebenito, Á., and Wind, P.:</w:t>
      </w:r>
      <w:r w:rsidRPr="00990957">
        <w:rPr>
          <w:rFonts w:eastAsia="Times New Roman" w:cs="Times New Roman"/>
          <w:sz w:val="22"/>
          <w:szCs w:val="22"/>
          <w:lang w:eastAsia="nb-NO"/>
        </w:rPr>
        <w:t xml:space="preserve"> The EMEP MSC-W chemical transport model – technical description, </w:t>
      </w:r>
      <w:r w:rsidRPr="002A0EE6">
        <w:rPr>
          <w:rFonts w:eastAsia="Times New Roman" w:cs="Times New Roman"/>
          <w:sz w:val="22"/>
          <w:szCs w:val="22"/>
          <w:lang w:eastAsia="nb-NO"/>
        </w:rPr>
        <w:t>Atmos. Chem. Phys., 12</w:t>
      </w:r>
      <w:r w:rsidRPr="00990957">
        <w:rPr>
          <w:rFonts w:eastAsia="Times New Roman" w:cs="Times New Roman"/>
          <w:sz w:val="22"/>
          <w:szCs w:val="22"/>
          <w:lang w:eastAsia="nb-NO"/>
        </w:rPr>
        <w:t>, 7825-7865, doi:10.5194/acp-12-7825-2012, 2012.</w:t>
      </w:r>
    </w:p>
    <w:p w:rsidR="00F6191F" w:rsidRPr="002A0EE6" w:rsidRDefault="00E5706D">
      <w:pPr>
        <w:spacing w:before="120"/>
        <w:ind w:left="450" w:hanging="450"/>
        <w:jc w:val="both"/>
        <w:rPr>
          <w:rFonts w:eastAsia="Times New Roman" w:cs="Times New Roman"/>
          <w:sz w:val="22"/>
          <w:szCs w:val="22"/>
          <w:lang w:eastAsia="nb-NO"/>
        </w:rPr>
      </w:pPr>
      <w:r w:rsidRPr="00BB0610">
        <w:rPr>
          <w:rFonts w:eastAsia="Times New Roman" w:cs="Times New Roman"/>
          <w:sz w:val="22"/>
          <w:szCs w:val="22"/>
          <w:lang w:eastAsia="nb-NO"/>
        </w:rPr>
        <w:lastRenderedPageBreak/>
        <w:t>Simpson, D., Nyri, A., Tsyro, S.,</w:t>
      </w:r>
      <w:r w:rsidR="002A0EE6">
        <w:rPr>
          <w:rFonts w:eastAsia="Times New Roman" w:cs="Times New Roman"/>
          <w:sz w:val="22"/>
          <w:szCs w:val="22"/>
          <w:lang w:eastAsia="nb-NO"/>
        </w:rPr>
        <w:t xml:space="preserve"> Valdebenito, Á., and Wind, P.:</w:t>
      </w:r>
      <w:r w:rsidRPr="00BB0610">
        <w:rPr>
          <w:rFonts w:eastAsia="Times New Roman" w:cs="Times New Roman"/>
          <w:sz w:val="22"/>
          <w:szCs w:val="22"/>
          <w:lang w:eastAsia="nb-NO"/>
        </w:rPr>
        <w:t xml:space="preserve"> Updates to the EMEP/MSC-W model, 2015-2016 Transboundary particulate matter, photo-oxidants, acidifying and eutrophying components. EMEP Status Report 1/2016, The Norwegian Meteorological Ins</w:t>
      </w:r>
      <w:r w:rsidRPr="002A0EE6">
        <w:rPr>
          <w:rFonts w:eastAsia="Times New Roman" w:cs="Times New Roman"/>
          <w:sz w:val="22"/>
          <w:szCs w:val="22"/>
          <w:lang w:eastAsia="nb-NO"/>
        </w:rPr>
        <w:t>titute, Oslo, Norway, 2016, 133-139, ISSN 1504-6109, 2016.</w:t>
      </w:r>
    </w:p>
    <w:p w:rsidR="00F6191F" w:rsidRPr="002A0EE6" w:rsidRDefault="00E5706D">
      <w:pPr>
        <w:spacing w:before="120"/>
        <w:ind w:left="450" w:hanging="450"/>
        <w:jc w:val="both"/>
        <w:rPr>
          <w:rFonts w:eastAsia="Times New Roman" w:cs="Times New Roman"/>
          <w:sz w:val="22"/>
          <w:szCs w:val="22"/>
          <w:lang w:eastAsia="nb-NO"/>
        </w:rPr>
      </w:pPr>
      <w:r w:rsidRPr="002A0EE6">
        <w:rPr>
          <w:rFonts w:eastAsia="Times New Roman" w:cs="Times New Roman"/>
          <w:sz w:val="22"/>
          <w:szCs w:val="22"/>
          <w:lang w:eastAsia="nb-NO"/>
        </w:rPr>
        <w:t>Simps</w:t>
      </w:r>
      <w:r w:rsidR="002A0EE6">
        <w:rPr>
          <w:rFonts w:eastAsia="Times New Roman" w:cs="Times New Roman"/>
          <w:sz w:val="22"/>
          <w:szCs w:val="22"/>
          <w:lang w:eastAsia="nb-NO"/>
        </w:rPr>
        <w:t>on, D., Tsyro, S., and Wind, P.:</w:t>
      </w:r>
      <w:r w:rsidRPr="002A0EE6">
        <w:rPr>
          <w:rFonts w:eastAsia="Times New Roman" w:cs="Times New Roman"/>
          <w:sz w:val="22"/>
          <w:szCs w:val="22"/>
          <w:lang w:eastAsia="nb-NO"/>
        </w:rPr>
        <w:t xml:space="preserve"> Updates to the EMEP/MSC-W model, Transboundary particulate matter, photo-oxidants, acidifying and eutrophying components. EMEP Status Report 1/2015, The Norwegian Meteorological Institute, Oslo, Norway, 2015, 129-138, ISSN 1504-6109, 2015.</w:t>
      </w:r>
    </w:p>
    <w:p w:rsidR="00F6191F" w:rsidRPr="002A0EE6" w:rsidRDefault="002A0EE6">
      <w:pPr>
        <w:spacing w:before="120"/>
        <w:ind w:left="446" w:hanging="446"/>
        <w:jc w:val="both"/>
        <w:rPr>
          <w:rFonts w:cs="Times New Roman"/>
          <w:sz w:val="22"/>
          <w:szCs w:val="22"/>
          <w:lang w:val="en-US"/>
        </w:rPr>
      </w:pPr>
      <w:r>
        <w:rPr>
          <w:rFonts w:cs="Times New Roman"/>
          <w:sz w:val="22"/>
          <w:szCs w:val="22"/>
        </w:rPr>
        <w:t xml:space="preserve">Skamarock, W. </w:t>
      </w:r>
      <w:proofErr w:type="gramStart"/>
      <w:r>
        <w:rPr>
          <w:rFonts w:cs="Times New Roman"/>
          <w:sz w:val="22"/>
          <w:szCs w:val="22"/>
        </w:rPr>
        <w:t>C.,et al.</w:t>
      </w:r>
      <w:proofErr w:type="gramEnd"/>
      <w:r>
        <w:rPr>
          <w:rFonts w:cs="Times New Roman"/>
          <w:sz w:val="22"/>
          <w:szCs w:val="22"/>
        </w:rPr>
        <w:t>:</w:t>
      </w:r>
      <w:r w:rsidR="00E5706D" w:rsidRPr="002A0EE6">
        <w:rPr>
          <w:rFonts w:cs="Times New Roman"/>
          <w:sz w:val="22"/>
          <w:szCs w:val="22"/>
        </w:rPr>
        <w:t xml:space="preserve"> A description of the Advanced Research WRF version 3. </w:t>
      </w:r>
      <w:r w:rsidR="00E5706D" w:rsidRPr="002A0EE6">
        <w:rPr>
          <w:rFonts w:cs="Times New Roman"/>
          <w:sz w:val="22"/>
          <w:szCs w:val="22"/>
          <w:lang w:val="en-US"/>
        </w:rPr>
        <w:t xml:space="preserve">NCAR Tech. Note NCAR/TN-4751 STR, 125 pp. [http://www2.mmm.ucar.edu/wrf/users/docs/arw_v3.pdf], </w:t>
      </w:r>
      <w:r w:rsidR="00E5706D" w:rsidRPr="002A0EE6">
        <w:rPr>
          <w:rFonts w:cs="Times New Roman"/>
          <w:sz w:val="22"/>
          <w:szCs w:val="22"/>
        </w:rPr>
        <w:t>2008.</w:t>
      </w:r>
    </w:p>
    <w:p w:rsidR="00F6191F" w:rsidRPr="00990957" w:rsidRDefault="00E5706D">
      <w:pPr>
        <w:spacing w:before="120"/>
        <w:ind w:left="450" w:hanging="450"/>
        <w:jc w:val="both"/>
        <w:rPr>
          <w:sz w:val="22"/>
          <w:szCs w:val="22"/>
        </w:rPr>
      </w:pPr>
      <w:r w:rsidRPr="002A0EE6">
        <w:rPr>
          <w:sz w:val="22"/>
          <w:szCs w:val="22"/>
        </w:rPr>
        <w:t>Soares, J., Sofiev, M., Hakkarainen, J.: Uncertainties of wild-land fires emission in AQMEII phase 2 case study. Atmosph.Environ., 115,</w:t>
      </w:r>
      <w:r w:rsidRPr="00990957">
        <w:rPr>
          <w:sz w:val="22"/>
          <w:szCs w:val="22"/>
        </w:rPr>
        <w:t xml:space="preserve"> 361-370, 2015.</w:t>
      </w:r>
    </w:p>
    <w:p w:rsidR="00F6191F" w:rsidRPr="00BB0610" w:rsidRDefault="00E5706D">
      <w:pPr>
        <w:spacing w:before="120"/>
        <w:ind w:left="450" w:hanging="450"/>
        <w:jc w:val="both"/>
        <w:rPr>
          <w:sz w:val="22"/>
          <w:szCs w:val="22"/>
        </w:rPr>
      </w:pPr>
      <w:r w:rsidRPr="00990957">
        <w:rPr>
          <w:sz w:val="22"/>
          <w:szCs w:val="22"/>
        </w:rPr>
        <w:t>Sofiev M, Kouznetsov R, Prank M, Soares Alves Antunes J, Vira J, Tarvainen V.: A long-term re-analysis of atmosphe</w:t>
      </w:r>
      <w:r w:rsidR="002A0EE6">
        <w:rPr>
          <w:sz w:val="22"/>
          <w:szCs w:val="22"/>
        </w:rPr>
        <w:t>ric composition and air quality,</w:t>
      </w:r>
      <w:r w:rsidRPr="00990957">
        <w:rPr>
          <w:sz w:val="22"/>
          <w:szCs w:val="22"/>
        </w:rPr>
        <w:t xml:space="preserve"> ITM 35, 2016.</w:t>
      </w:r>
    </w:p>
    <w:p w:rsidR="00F6191F" w:rsidRPr="00990957" w:rsidRDefault="00E5706D">
      <w:pPr>
        <w:spacing w:before="120"/>
        <w:ind w:left="450" w:hanging="450"/>
        <w:jc w:val="both"/>
        <w:rPr>
          <w:sz w:val="22"/>
          <w:szCs w:val="22"/>
        </w:rPr>
      </w:pPr>
      <w:r w:rsidRPr="002A0EE6">
        <w:rPr>
          <w:sz w:val="22"/>
          <w:szCs w:val="22"/>
        </w:rPr>
        <w:t>Sofiev, M., Genikhovi</w:t>
      </w:r>
      <w:r w:rsidR="002A0EE6">
        <w:rPr>
          <w:sz w:val="22"/>
          <w:szCs w:val="22"/>
        </w:rPr>
        <w:t>ch, E., Keronen, P., Vesala, T.:</w:t>
      </w:r>
      <w:r w:rsidRPr="002A0EE6">
        <w:rPr>
          <w:sz w:val="22"/>
          <w:szCs w:val="22"/>
        </w:rPr>
        <w:t xml:space="preserve"> Diagnosing the surface layer parameters for dispersion models within the meteorological-to-dispersion modeling interface, J. of Appl. Meteorol. and Climatology</w:t>
      </w:r>
      <w:r w:rsidRPr="00990957">
        <w:rPr>
          <w:sz w:val="22"/>
          <w:szCs w:val="22"/>
        </w:rPr>
        <w:t xml:space="preserve">, </w:t>
      </w:r>
      <w:r w:rsidRPr="002A0EE6">
        <w:rPr>
          <w:bCs/>
          <w:sz w:val="22"/>
          <w:szCs w:val="22"/>
        </w:rPr>
        <w:t>49</w:t>
      </w:r>
      <w:r w:rsidRPr="00990957">
        <w:rPr>
          <w:sz w:val="22"/>
          <w:szCs w:val="22"/>
        </w:rPr>
        <w:t>, 221-233, 2010.</w:t>
      </w:r>
    </w:p>
    <w:p w:rsidR="00F6191F" w:rsidRPr="00990957" w:rsidRDefault="00E5706D">
      <w:pPr>
        <w:spacing w:before="120"/>
        <w:ind w:left="450" w:hanging="450"/>
        <w:jc w:val="both"/>
        <w:rPr>
          <w:sz w:val="22"/>
          <w:szCs w:val="22"/>
        </w:rPr>
      </w:pPr>
      <w:r w:rsidRPr="00990957">
        <w:rPr>
          <w:sz w:val="22"/>
          <w:szCs w:val="22"/>
        </w:rPr>
        <w:t>Sofiev, M., Soares, J., Prank,</w:t>
      </w:r>
      <w:r w:rsidR="002A0EE6">
        <w:rPr>
          <w:sz w:val="22"/>
          <w:szCs w:val="22"/>
        </w:rPr>
        <w:t xml:space="preserve"> M., de Leeuw, G., Kukkonen: J.,</w:t>
      </w:r>
      <w:r w:rsidRPr="00990957">
        <w:rPr>
          <w:sz w:val="22"/>
          <w:szCs w:val="22"/>
        </w:rPr>
        <w:t xml:space="preserve"> A regional-to-global model of emission and transport of sea salt particles in the atmosphere. </w:t>
      </w:r>
      <w:r w:rsidRPr="002A0EE6">
        <w:rPr>
          <w:rStyle w:val="journaltitle"/>
          <w:rFonts w:cs="Times New Roman"/>
          <w:iCs/>
          <w:sz w:val="22"/>
          <w:szCs w:val="22"/>
        </w:rPr>
        <w:t>J. Geophys. Res</w:t>
      </w:r>
      <w:r w:rsidRPr="00990957">
        <w:rPr>
          <w:sz w:val="22"/>
          <w:szCs w:val="22"/>
        </w:rPr>
        <w:t>, 116, D21302, 4713, 2011.</w:t>
      </w:r>
    </w:p>
    <w:p w:rsidR="00F6191F" w:rsidRPr="00990957" w:rsidRDefault="00E5706D">
      <w:pPr>
        <w:spacing w:before="120"/>
        <w:ind w:left="450" w:hanging="450"/>
        <w:jc w:val="both"/>
        <w:rPr>
          <w:rStyle w:val="pbtoclink"/>
          <w:sz w:val="22"/>
          <w:szCs w:val="22"/>
        </w:rPr>
      </w:pPr>
      <w:r w:rsidRPr="00990957">
        <w:rPr>
          <w:rStyle w:val="pbtoclink"/>
          <w:sz w:val="22"/>
          <w:szCs w:val="22"/>
          <w:lang w:val="en-US"/>
        </w:rPr>
        <w:t xml:space="preserve">Sofiev, M., Vira, J., Kouznetsov, R., Prank, </w:t>
      </w:r>
      <w:r w:rsidR="002A0EE6">
        <w:rPr>
          <w:rStyle w:val="pbtoclink"/>
          <w:sz w:val="22"/>
          <w:szCs w:val="22"/>
          <w:lang w:val="en-US"/>
        </w:rPr>
        <w:t>M., Soares, J., Genikhovich, E.:</w:t>
      </w:r>
      <w:r w:rsidRPr="00990957">
        <w:rPr>
          <w:rStyle w:val="pbtoclink"/>
          <w:sz w:val="22"/>
          <w:szCs w:val="22"/>
          <w:lang w:val="en-US"/>
        </w:rPr>
        <w:t xml:space="preserve"> Construction of the SILAM Eulerian atmospheric dispersion model based on the advection algorithm of Mich</w:t>
      </w:r>
      <w:r w:rsidRPr="00BB0610">
        <w:rPr>
          <w:rStyle w:val="pbtoclink"/>
          <w:sz w:val="22"/>
          <w:szCs w:val="22"/>
          <w:lang w:val="en-US"/>
        </w:rPr>
        <w:t xml:space="preserve">ael Galperin, </w:t>
      </w:r>
      <w:r w:rsidRPr="002A0EE6">
        <w:rPr>
          <w:rStyle w:val="pbtoclink"/>
          <w:sz w:val="22"/>
          <w:szCs w:val="22"/>
          <w:lang w:val="en-US"/>
        </w:rPr>
        <w:t>Geosci.</w:t>
      </w:r>
      <w:r w:rsidR="00BB0610">
        <w:rPr>
          <w:rStyle w:val="pbtoclink"/>
          <w:sz w:val="22"/>
          <w:szCs w:val="22"/>
          <w:lang w:val="en-US"/>
        </w:rPr>
        <w:t xml:space="preserve"> </w:t>
      </w:r>
      <w:r w:rsidRPr="002A0EE6">
        <w:rPr>
          <w:rStyle w:val="pbtoclink"/>
          <w:sz w:val="22"/>
          <w:szCs w:val="22"/>
          <w:lang w:val="en-US"/>
        </w:rPr>
        <w:t>Model Dev.</w:t>
      </w:r>
      <w:r w:rsidR="00BB0610">
        <w:rPr>
          <w:rStyle w:val="pbtoclink"/>
          <w:sz w:val="22"/>
          <w:szCs w:val="22"/>
          <w:lang w:val="en-US"/>
        </w:rPr>
        <w:t>,</w:t>
      </w:r>
      <w:r w:rsidRPr="00990957">
        <w:rPr>
          <w:sz w:val="22"/>
          <w:szCs w:val="22"/>
          <w:lang w:val="en-US"/>
        </w:rPr>
        <w:t xml:space="preserve"> </w:t>
      </w:r>
      <w:r w:rsidRPr="00990957">
        <w:rPr>
          <w:rStyle w:val="pbtoclink"/>
          <w:sz w:val="22"/>
          <w:szCs w:val="22"/>
        </w:rPr>
        <w:t>8, 3497-3522, 2015.</w:t>
      </w:r>
    </w:p>
    <w:p w:rsidR="00F6191F" w:rsidRPr="00990957" w:rsidRDefault="00E5706D">
      <w:pPr>
        <w:spacing w:before="120"/>
        <w:ind w:left="446" w:hanging="446"/>
        <w:jc w:val="both"/>
        <w:rPr>
          <w:lang w:val="fr-FR"/>
        </w:rPr>
      </w:pPr>
      <w:r w:rsidRPr="00990957">
        <w:rPr>
          <w:rStyle w:val="pbtoclink"/>
          <w:sz w:val="22"/>
          <w:szCs w:val="22"/>
          <w:lang w:val="fr-FR"/>
        </w:rPr>
        <w:t>Sofiev, M., Berger, U., Prank, M., Vira, J., Arteta, J., Belmonte, J., Bergmann, K.-C., Chéroux, F., Elbern, H., Friese, E., Galan, C., Gehrig, R., Khvorostyanov, D., Kranenburg, R., Kumar, U., Marécal, V., Meleux, F., Menut, L., Pessi, A.-M., Robertson, L</w:t>
      </w:r>
      <w:r w:rsidRPr="00BB0610">
        <w:rPr>
          <w:rStyle w:val="pbtoclink"/>
          <w:sz w:val="22"/>
          <w:szCs w:val="22"/>
          <w:lang w:val="fr-FR"/>
        </w:rPr>
        <w:t>., Ritenberga, O., Rodinkova, V., Saarto, A., Segers, A., Severova, E., Sauliene, I., Siljamo, P., Steensen, B. M., Teinemaa, E., Thibaudon, M., and Peuch, V.-H.</w:t>
      </w:r>
      <w:r w:rsidR="002A0EE6">
        <w:rPr>
          <w:rStyle w:val="pbtoclink"/>
          <w:sz w:val="22"/>
          <w:szCs w:val="22"/>
          <w:lang w:val="fr-FR"/>
        </w:rPr>
        <w:t> :</w:t>
      </w:r>
      <w:r w:rsidRPr="00BB0610">
        <w:rPr>
          <w:rStyle w:val="pbtoclink"/>
          <w:sz w:val="22"/>
          <w:szCs w:val="22"/>
          <w:lang w:val="fr-FR"/>
        </w:rPr>
        <w:t xml:space="preserve"> MACC regional multi-model ensemble simulations of birch pollen dispersion in Europe, </w:t>
      </w:r>
      <w:r w:rsidRPr="002A0EE6">
        <w:rPr>
          <w:rStyle w:val="pbtoclink"/>
          <w:sz w:val="22"/>
          <w:szCs w:val="22"/>
          <w:lang w:val="fr-FR"/>
        </w:rPr>
        <w:t>Atmos. Chem. Phys., 15,</w:t>
      </w:r>
      <w:r w:rsidRPr="00990957">
        <w:rPr>
          <w:rStyle w:val="pbtoclink"/>
          <w:sz w:val="22"/>
          <w:szCs w:val="22"/>
          <w:lang w:val="fr-FR"/>
        </w:rPr>
        <w:t xml:space="preserve"> 8115-8130, </w:t>
      </w:r>
      <w:proofErr w:type="gramStart"/>
      <w:r w:rsidRPr="00990957">
        <w:rPr>
          <w:rStyle w:val="pbtoclink"/>
          <w:sz w:val="22"/>
          <w:szCs w:val="22"/>
          <w:lang w:val="fr-FR"/>
        </w:rPr>
        <w:t>doi:</w:t>
      </w:r>
      <w:proofErr w:type="gramEnd"/>
      <w:r w:rsidRPr="00990957">
        <w:rPr>
          <w:rStyle w:val="pbtoclink"/>
          <w:sz w:val="22"/>
          <w:szCs w:val="22"/>
          <w:lang w:val="fr-FR"/>
        </w:rPr>
        <w:t xml:space="preserve">10.5194/acp-15-8115-2015, </w:t>
      </w:r>
      <w:hyperlink r:id="rId76" w:history="1">
        <w:r w:rsidRPr="00990957">
          <w:rPr>
            <w:rStyle w:val="Hyperlink"/>
            <w:color w:val="auto"/>
            <w:sz w:val="22"/>
            <w:szCs w:val="22"/>
            <w:u w:val="none"/>
            <w:lang w:val="fr-FR"/>
          </w:rPr>
          <w:t>http://www.atmos-chem-phys.net/15/8115/2015/</w:t>
        </w:r>
      </w:hyperlink>
      <w:r w:rsidR="00BB0610">
        <w:rPr>
          <w:rStyle w:val="Hyperlink"/>
          <w:color w:val="auto"/>
          <w:sz w:val="22"/>
          <w:szCs w:val="22"/>
          <w:u w:val="none"/>
          <w:lang w:val="fr-FR"/>
        </w:rPr>
        <w:t>, 2015</w:t>
      </w:r>
      <w:r w:rsidRPr="00990957">
        <w:rPr>
          <w:rStyle w:val="pbtoclink"/>
          <w:sz w:val="22"/>
          <w:szCs w:val="22"/>
          <w:lang w:val="fr-FR"/>
        </w:rPr>
        <w:t>.</w:t>
      </w:r>
    </w:p>
    <w:p w:rsidR="00F6191F" w:rsidRPr="00990957" w:rsidRDefault="00E5706D">
      <w:pPr>
        <w:spacing w:before="120"/>
        <w:ind w:left="450" w:hanging="450"/>
        <w:jc w:val="both"/>
        <w:rPr>
          <w:rStyle w:val="pbtoclink"/>
          <w:sz w:val="22"/>
          <w:szCs w:val="22"/>
        </w:rPr>
      </w:pPr>
      <w:r w:rsidRPr="00990957">
        <w:rPr>
          <w:rStyle w:val="pbtoclink"/>
          <w:sz w:val="22"/>
          <w:szCs w:val="22"/>
          <w:lang w:val="fr-FR"/>
        </w:rPr>
        <w:t>Sofiev, M., Ritenberga, O., Albertini, R., Arteta, J., Belmonte, J., Bonini, M., Celenk, S., Damialis, A., Douros, J., Elbern, H., Friese, E., Galan, C., Gilles, O., Hrga, I., Kouznetsov, R., Krajsek, K., Parmentier, J., Plu, M., Prank, M., Robertson, L., Steensen, B. M., Thibaudon, M., Segers, A., Stepanovich, B., Valdebenito, A. M., Vira,</w:t>
      </w:r>
      <w:r w:rsidRPr="00BB0610">
        <w:rPr>
          <w:rStyle w:val="pbtoclink"/>
          <w:sz w:val="22"/>
          <w:szCs w:val="22"/>
          <w:lang w:val="fr-FR"/>
        </w:rPr>
        <w:t xml:space="preserve"> J., and Vokou, D.</w:t>
      </w:r>
      <w:r w:rsidR="002A0EE6">
        <w:rPr>
          <w:rStyle w:val="pbtoclink"/>
          <w:sz w:val="22"/>
          <w:szCs w:val="22"/>
          <w:lang w:val="fr-FR"/>
        </w:rPr>
        <w:t> :</w:t>
      </w:r>
      <w:r w:rsidRPr="00BB0610">
        <w:rPr>
          <w:rStyle w:val="pbtoclink"/>
          <w:sz w:val="22"/>
          <w:szCs w:val="22"/>
          <w:lang w:val="fr-FR"/>
        </w:rPr>
        <w:t xml:space="preserve"> Multi-model ensemble simulations of olive pollen distribution in Europe in 2014, </w:t>
      </w:r>
      <w:r w:rsidRPr="002A0EE6">
        <w:rPr>
          <w:rStyle w:val="pbtoclink"/>
          <w:sz w:val="22"/>
          <w:szCs w:val="22"/>
          <w:lang w:val="fr-FR"/>
        </w:rPr>
        <w:t>Atmos. Chem. Phys.,</w:t>
      </w:r>
      <w:r w:rsidRPr="00990957">
        <w:rPr>
          <w:rStyle w:val="pbtoclink"/>
          <w:sz w:val="22"/>
          <w:szCs w:val="22"/>
          <w:lang w:val="fr-FR"/>
        </w:rPr>
        <w:t xml:space="preserve"> </w:t>
      </w:r>
      <w:proofErr w:type="gramStart"/>
      <w:r w:rsidRPr="00990957">
        <w:rPr>
          <w:rStyle w:val="pbtoclink"/>
          <w:sz w:val="22"/>
          <w:szCs w:val="22"/>
          <w:lang w:val="fr-FR"/>
        </w:rPr>
        <w:t>doi:</w:t>
      </w:r>
      <w:proofErr w:type="gramEnd"/>
      <w:r w:rsidRPr="00990957">
        <w:rPr>
          <w:rStyle w:val="pbtoclink"/>
          <w:sz w:val="22"/>
          <w:szCs w:val="22"/>
          <w:lang w:val="fr-FR"/>
        </w:rPr>
        <w:t xml:space="preserve">10.5194/acp-2016-1189, </w:t>
      </w:r>
      <w:hyperlink r:id="rId77" w:history="1">
        <w:r w:rsidRPr="00990957">
          <w:rPr>
            <w:rStyle w:val="Hyperlink"/>
            <w:color w:val="auto"/>
            <w:sz w:val="22"/>
            <w:szCs w:val="22"/>
            <w:u w:val="none"/>
            <w:lang w:val="fr-FR"/>
          </w:rPr>
          <w:t>https://www.atmos-chem-phys.net/17/12341/2017/acp-17-12341-2017.html</w:t>
        </w:r>
      </w:hyperlink>
      <w:r w:rsidR="00BB0610">
        <w:rPr>
          <w:rStyle w:val="Hyperlink"/>
          <w:color w:val="auto"/>
          <w:sz w:val="22"/>
          <w:szCs w:val="22"/>
          <w:u w:val="none"/>
          <w:lang w:val="fr-FR"/>
        </w:rPr>
        <w:t xml:space="preserve">, </w:t>
      </w:r>
      <w:r w:rsidR="00BB0610" w:rsidRPr="00BB0610">
        <w:rPr>
          <w:rStyle w:val="pbtoclink"/>
          <w:sz w:val="22"/>
          <w:szCs w:val="22"/>
          <w:lang w:val="fr-FR"/>
        </w:rPr>
        <w:t>2017</w:t>
      </w:r>
      <w:r w:rsidR="00BB0610">
        <w:rPr>
          <w:rStyle w:val="pbtoclink"/>
          <w:sz w:val="22"/>
          <w:szCs w:val="22"/>
          <w:lang w:val="fr-FR"/>
        </w:rPr>
        <w:t>.</w:t>
      </w:r>
    </w:p>
    <w:p w:rsidR="00F6191F" w:rsidRPr="00990957" w:rsidRDefault="002A0EE6">
      <w:pPr>
        <w:spacing w:before="120"/>
        <w:ind w:left="450" w:hanging="450"/>
        <w:jc w:val="both"/>
      </w:pPr>
      <w:r>
        <w:rPr>
          <w:sz w:val="22"/>
          <w:szCs w:val="22"/>
        </w:rPr>
        <w:t>Sofiev, M.,</w:t>
      </w:r>
      <w:r w:rsidR="00E5706D" w:rsidRPr="00990957">
        <w:rPr>
          <w:sz w:val="22"/>
          <w:szCs w:val="22"/>
        </w:rPr>
        <w:t xml:space="preserve"> A model for the evaluation of long-term airborne pollution transport at regional and continental scales</w:t>
      </w:r>
      <w:r w:rsidR="00990957">
        <w:rPr>
          <w:sz w:val="22"/>
          <w:szCs w:val="22"/>
        </w:rPr>
        <w:t>,</w:t>
      </w:r>
      <w:r w:rsidR="00E5706D" w:rsidRPr="00990957">
        <w:rPr>
          <w:sz w:val="22"/>
          <w:szCs w:val="22"/>
        </w:rPr>
        <w:t xml:space="preserve"> </w:t>
      </w:r>
      <w:r w:rsidR="00E5706D" w:rsidRPr="002A0EE6">
        <w:rPr>
          <w:sz w:val="22"/>
          <w:szCs w:val="22"/>
        </w:rPr>
        <w:t>Atmos. Environ</w:t>
      </w:r>
      <w:r w:rsidR="00E5706D" w:rsidRPr="00990957">
        <w:rPr>
          <w:sz w:val="22"/>
          <w:szCs w:val="22"/>
        </w:rPr>
        <w:t>.</w:t>
      </w:r>
      <w:r>
        <w:rPr>
          <w:sz w:val="22"/>
          <w:szCs w:val="22"/>
        </w:rPr>
        <w:t>:</w:t>
      </w:r>
      <w:r w:rsidR="00E5706D" w:rsidRPr="00990957">
        <w:rPr>
          <w:sz w:val="22"/>
          <w:szCs w:val="22"/>
        </w:rPr>
        <w:t xml:space="preserve"> 34, 15, 2481-2493, 2000.</w:t>
      </w:r>
    </w:p>
    <w:p w:rsidR="00F6191F" w:rsidRPr="00990957" w:rsidRDefault="00E5706D">
      <w:pPr>
        <w:pStyle w:val="p1"/>
        <w:spacing w:before="120"/>
        <w:ind w:left="450" w:hanging="450"/>
        <w:jc w:val="both"/>
        <w:rPr>
          <w:rFonts w:asciiTheme="minorHAnsi" w:hAnsiTheme="minorHAnsi" w:cstheme="minorBidi"/>
          <w:sz w:val="22"/>
          <w:szCs w:val="22"/>
          <w:lang w:eastAsia="en-US"/>
        </w:rPr>
      </w:pPr>
      <w:r w:rsidRPr="00990957">
        <w:rPr>
          <w:rFonts w:asciiTheme="minorHAnsi" w:hAnsiTheme="minorHAnsi" w:cstheme="minorBidi"/>
          <w:sz w:val="22"/>
          <w:szCs w:val="22"/>
          <w:lang w:eastAsia="en-US"/>
        </w:rPr>
        <w:t>Solazzo, E., Bianconi, R., Vautard, R., Appel, K. W., Moran, M. D., Hogrefe, C., Bessagnet, B., Brandt, J., Christensen, J. H., Chemel, C., Coll, I., Denier van der Gon, H., Ferreira, J., Forkel, R., Francis, X. V., Grell, 5 G., Grossi, P., Hansen, A. B., Jericevic, A., Kraljevic, L., Miranda, A. I</w:t>
      </w:r>
      <w:r w:rsidRPr="00BB0610">
        <w:rPr>
          <w:rFonts w:asciiTheme="minorHAnsi" w:hAnsiTheme="minorHAnsi" w:cstheme="minorBidi"/>
          <w:sz w:val="22"/>
          <w:szCs w:val="22"/>
          <w:lang w:eastAsia="en-US"/>
        </w:rPr>
        <w:t>., Nopmongcol, U., Pirova</w:t>
      </w:r>
      <w:r w:rsidRPr="002A0EE6">
        <w:rPr>
          <w:rFonts w:asciiTheme="minorHAnsi" w:hAnsiTheme="minorHAnsi" w:cstheme="minorBidi"/>
          <w:sz w:val="22"/>
          <w:szCs w:val="22"/>
          <w:lang w:eastAsia="en-US"/>
        </w:rPr>
        <w:t>no, G., Prank, M., Riccio, A., Sartelet, K. N., Schaap, M., Silver, J. D., Sokhi, R. S., Vira, J., Werhahn, J., Wolke, R., Yarwood, G., Zhang, J.</w:t>
      </w:r>
      <w:r w:rsidR="002A0EE6">
        <w:rPr>
          <w:rFonts w:asciiTheme="minorHAnsi" w:hAnsiTheme="minorHAnsi" w:cstheme="minorBidi"/>
          <w:sz w:val="22"/>
          <w:szCs w:val="22"/>
          <w:lang w:eastAsia="en-US"/>
        </w:rPr>
        <w:t>, Rao, S. T., and Galmarini, S.:</w:t>
      </w:r>
      <w:r w:rsidRPr="002A0EE6">
        <w:rPr>
          <w:rFonts w:asciiTheme="minorHAnsi" w:hAnsiTheme="minorHAnsi" w:cstheme="minorBidi"/>
          <w:sz w:val="22"/>
          <w:szCs w:val="22"/>
          <w:lang w:eastAsia="en-US"/>
        </w:rPr>
        <w:t xml:space="preserve"> Model evalu</w:t>
      </w:r>
      <w:r w:rsidR="002A0EE6">
        <w:rPr>
          <w:rFonts w:asciiTheme="minorHAnsi" w:hAnsiTheme="minorHAnsi" w:cstheme="minorBidi"/>
          <w:sz w:val="22"/>
          <w:szCs w:val="22"/>
          <w:lang w:eastAsia="en-US"/>
        </w:rPr>
        <w:t>a</w:t>
      </w:r>
      <w:r w:rsidRPr="002A0EE6">
        <w:rPr>
          <w:rFonts w:asciiTheme="minorHAnsi" w:hAnsiTheme="minorHAnsi" w:cstheme="minorBidi"/>
          <w:sz w:val="22"/>
          <w:szCs w:val="22"/>
          <w:lang w:eastAsia="en-US"/>
        </w:rPr>
        <w:t xml:space="preserve">tion and ensemble modelling of surface-level ozone in Europe and North America in the context of AQMEII, </w:t>
      </w:r>
      <w:r w:rsidR="002A0EE6">
        <w:rPr>
          <w:rFonts w:asciiTheme="minorHAnsi" w:hAnsiTheme="minorHAnsi" w:cstheme="minorBidi"/>
          <w:sz w:val="22"/>
          <w:szCs w:val="22"/>
          <w:lang w:eastAsia="en-US"/>
        </w:rPr>
        <w:t>Atmos. Environ.,</w:t>
      </w:r>
      <w:r w:rsidRPr="002A0EE6">
        <w:rPr>
          <w:rFonts w:asciiTheme="minorHAnsi" w:hAnsiTheme="minorHAnsi" w:cstheme="minorBidi"/>
          <w:sz w:val="22"/>
          <w:szCs w:val="22"/>
          <w:lang w:eastAsia="en-US"/>
        </w:rPr>
        <w:t xml:space="preserve"> 53</w:t>
      </w:r>
      <w:r w:rsidRPr="00990957">
        <w:rPr>
          <w:rFonts w:asciiTheme="minorHAnsi" w:hAnsiTheme="minorHAnsi" w:cstheme="minorBidi"/>
          <w:sz w:val="22"/>
          <w:szCs w:val="22"/>
          <w:lang w:eastAsia="en-US"/>
        </w:rPr>
        <w:t>, 60–74, 2012.</w:t>
      </w:r>
    </w:p>
    <w:p w:rsidR="00F6191F" w:rsidRPr="00BB0610" w:rsidRDefault="00E5706D">
      <w:pPr>
        <w:spacing w:before="120"/>
        <w:ind w:left="450" w:hanging="450"/>
        <w:jc w:val="both"/>
        <w:rPr>
          <w:sz w:val="22"/>
          <w:szCs w:val="22"/>
        </w:rPr>
      </w:pPr>
      <w:r w:rsidRPr="00BB0610">
        <w:rPr>
          <w:rStyle w:val="pbtoclink"/>
          <w:sz w:val="22"/>
          <w:szCs w:val="22"/>
        </w:rPr>
        <w:t>Spracklen, D. V., Jimenez, J. L., Carslaw, K. S., Worsnop, D. R., Evans, M. J., Mann, G. W., Zhang, Q., Canagaratna, M. R., Allan, J., Coe, H., McFiggan</w:t>
      </w:r>
      <w:r w:rsidR="002A0EE6">
        <w:rPr>
          <w:rStyle w:val="pbtoclink"/>
          <w:sz w:val="22"/>
          <w:szCs w:val="22"/>
        </w:rPr>
        <w:t>s, G., Rap, A., and Forster, P.:</w:t>
      </w:r>
      <w:r w:rsidRPr="00BB0610">
        <w:rPr>
          <w:rStyle w:val="pbtoclink"/>
          <w:sz w:val="22"/>
          <w:szCs w:val="22"/>
        </w:rPr>
        <w:t xml:space="preserve"> Aerosol mass </w:t>
      </w:r>
      <w:r w:rsidRPr="00BB0610">
        <w:rPr>
          <w:rStyle w:val="pbtoclink"/>
          <w:sz w:val="22"/>
          <w:szCs w:val="22"/>
        </w:rPr>
        <w:lastRenderedPageBreak/>
        <w:t>spectrometer constraint on the global secondary organic aerosol budget, Atmos. Chem. Phys., 11, 12109-12136, https://doi.org/10.5194/acp-11-12109-2011, 2011.</w:t>
      </w:r>
    </w:p>
    <w:p w:rsidR="00F6191F" w:rsidRPr="00BB0610" w:rsidRDefault="00E5706D">
      <w:pPr>
        <w:spacing w:before="120"/>
        <w:ind w:left="446" w:hanging="446"/>
        <w:jc w:val="both"/>
      </w:pPr>
      <w:r w:rsidRPr="00BB0610">
        <w:rPr>
          <w:color w:val="000000"/>
          <w:sz w:val="22"/>
          <w:szCs w:val="22"/>
        </w:rPr>
        <w:t>Szopa, S., Fore</w:t>
      </w:r>
      <w:r w:rsidR="002A0EE6">
        <w:rPr>
          <w:color w:val="000000"/>
          <w:sz w:val="22"/>
          <w:szCs w:val="22"/>
        </w:rPr>
        <w:t>t, G., Menut, L., and Cozic, A.</w:t>
      </w:r>
      <w:r w:rsidR="006A21AD">
        <w:rPr>
          <w:color w:val="000000"/>
          <w:sz w:val="22"/>
          <w:szCs w:val="22"/>
        </w:rPr>
        <w:t>:</w:t>
      </w:r>
      <w:r w:rsidRPr="00BB0610">
        <w:rPr>
          <w:color w:val="000000"/>
          <w:sz w:val="22"/>
          <w:szCs w:val="22"/>
        </w:rPr>
        <w:t xml:space="preserve"> Impact of large </w:t>
      </w:r>
      <w:r w:rsidRPr="00BB0610">
        <w:rPr>
          <w:sz w:val="22"/>
          <w:szCs w:val="22"/>
        </w:rPr>
        <w:t xml:space="preserve">scale circulation on European summer surface ozone: consequences for modeling, </w:t>
      </w:r>
      <w:r w:rsidR="002A0EE6">
        <w:rPr>
          <w:sz w:val="22"/>
          <w:szCs w:val="22"/>
        </w:rPr>
        <w:t>Atmos. Environ.,</w:t>
      </w:r>
      <w:r w:rsidRPr="002A0EE6">
        <w:rPr>
          <w:sz w:val="22"/>
          <w:szCs w:val="22"/>
        </w:rPr>
        <w:t xml:space="preserve"> 43,</w:t>
      </w:r>
      <w:r w:rsidRPr="00990957">
        <w:rPr>
          <w:sz w:val="22"/>
          <w:szCs w:val="22"/>
        </w:rPr>
        <w:t xml:space="preserve"> 1189–1195, </w:t>
      </w:r>
      <w:proofErr w:type="gramStart"/>
      <w:r w:rsidRPr="00990957">
        <w:rPr>
          <w:sz w:val="22"/>
          <w:szCs w:val="22"/>
        </w:rPr>
        <w:t>doi:10.1016/j.atmosenv</w:t>
      </w:r>
      <w:proofErr w:type="gramEnd"/>
      <w:r w:rsidRPr="00990957">
        <w:rPr>
          <w:sz w:val="22"/>
          <w:szCs w:val="22"/>
        </w:rPr>
        <w:t>.2008.10.039, 2009</w:t>
      </w:r>
    </w:p>
    <w:p w:rsidR="00F6191F" w:rsidRPr="00990957" w:rsidRDefault="00E5706D">
      <w:pPr>
        <w:autoSpaceDE w:val="0"/>
        <w:autoSpaceDN w:val="0"/>
        <w:adjustRightInd w:val="0"/>
        <w:spacing w:before="120"/>
        <w:ind w:left="450" w:hanging="450"/>
        <w:jc w:val="both"/>
        <w:rPr>
          <w:rFonts w:cs="Arial"/>
          <w:sz w:val="22"/>
          <w:szCs w:val="22"/>
        </w:rPr>
      </w:pPr>
      <w:r w:rsidRPr="00BB0610">
        <w:rPr>
          <w:rFonts w:cs="Arial"/>
          <w:sz w:val="22"/>
          <w:szCs w:val="22"/>
        </w:rPr>
        <w:t xml:space="preserve">Thompson, G., Field, P. R., Rasmussen, R.M., and Hall, W.D.: Explicit Forecasts of winter precipitation using an improved bulk microphysics scheme. Part II: Implementation of a new snow parameterization. </w:t>
      </w:r>
      <w:r w:rsidR="002A0EE6">
        <w:rPr>
          <w:rFonts w:cs="Arial"/>
          <w:sz w:val="22"/>
          <w:szCs w:val="22"/>
        </w:rPr>
        <w:t>Mon. Wea. Rev.:</w:t>
      </w:r>
      <w:r w:rsidRPr="002A0EE6">
        <w:rPr>
          <w:rFonts w:cs="Arial"/>
          <w:sz w:val="22"/>
          <w:szCs w:val="22"/>
        </w:rPr>
        <w:t xml:space="preserve"> 136</w:t>
      </w:r>
      <w:r w:rsidRPr="00990957">
        <w:rPr>
          <w:rFonts w:cs="Arial"/>
          <w:sz w:val="22"/>
          <w:szCs w:val="22"/>
        </w:rPr>
        <w:t>, 5095–5115, 2008.</w:t>
      </w:r>
    </w:p>
    <w:p w:rsidR="00F6191F" w:rsidRPr="00990957" w:rsidRDefault="00E5706D">
      <w:pPr>
        <w:spacing w:before="120"/>
        <w:ind w:left="450" w:hanging="450"/>
        <w:jc w:val="both"/>
        <w:rPr>
          <w:rFonts w:cstheme="minorHAnsi"/>
          <w:sz w:val="22"/>
          <w:szCs w:val="22"/>
        </w:rPr>
      </w:pPr>
      <w:r w:rsidRPr="00BB0610">
        <w:rPr>
          <w:rFonts w:cstheme="minorHAnsi"/>
          <w:sz w:val="22"/>
          <w:szCs w:val="22"/>
        </w:rPr>
        <w:t xml:space="preserve">Timmermans, R., Kranenburg, </w:t>
      </w:r>
      <w:r w:rsidR="00BB0610" w:rsidRPr="00BB0610">
        <w:rPr>
          <w:rFonts w:cstheme="minorHAnsi"/>
          <w:sz w:val="22"/>
          <w:szCs w:val="22"/>
        </w:rPr>
        <w:t>R.</w:t>
      </w:r>
      <w:r w:rsidR="00BB0610">
        <w:rPr>
          <w:rFonts w:cstheme="minorHAnsi"/>
          <w:sz w:val="22"/>
          <w:szCs w:val="22"/>
        </w:rPr>
        <w:t>,</w:t>
      </w:r>
      <w:r w:rsidRPr="00BB0610">
        <w:rPr>
          <w:rFonts w:cstheme="minorHAnsi"/>
          <w:sz w:val="22"/>
          <w:szCs w:val="22"/>
        </w:rPr>
        <w:t xml:space="preserve"> Manders, </w:t>
      </w:r>
      <w:r w:rsidR="00BB0610" w:rsidRPr="00BB0610">
        <w:rPr>
          <w:rFonts w:cstheme="minorHAnsi"/>
          <w:sz w:val="22"/>
          <w:szCs w:val="22"/>
        </w:rPr>
        <w:t>A.</w:t>
      </w:r>
      <w:r w:rsidR="00BB0610">
        <w:rPr>
          <w:rFonts w:cstheme="minorHAnsi"/>
          <w:sz w:val="22"/>
          <w:szCs w:val="22"/>
        </w:rPr>
        <w:t>,</w:t>
      </w:r>
      <w:r w:rsidRPr="00BB0610">
        <w:rPr>
          <w:rFonts w:cstheme="minorHAnsi"/>
          <w:sz w:val="22"/>
          <w:szCs w:val="22"/>
        </w:rPr>
        <w:t xml:space="preserve"> Hendriks, </w:t>
      </w:r>
      <w:r w:rsidR="00BB0610" w:rsidRPr="00BB0610">
        <w:rPr>
          <w:rFonts w:cstheme="minorHAnsi"/>
          <w:sz w:val="22"/>
          <w:szCs w:val="22"/>
        </w:rPr>
        <w:t>C.</w:t>
      </w:r>
      <w:r w:rsidR="00BB0610">
        <w:rPr>
          <w:rFonts w:cstheme="minorHAnsi"/>
          <w:sz w:val="22"/>
          <w:szCs w:val="22"/>
        </w:rPr>
        <w:t>,</w:t>
      </w:r>
      <w:r w:rsidRPr="00BB0610">
        <w:rPr>
          <w:rFonts w:cstheme="minorHAnsi"/>
          <w:sz w:val="22"/>
          <w:szCs w:val="22"/>
        </w:rPr>
        <w:t xml:space="preserve"> Segers, </w:t>
      </w:r>
      <w:r w:rsidR="00BB0610" w:rsidRPr="00BB0610">
        <w:rPr>
          <w:rFonts w:cstheme="minorHAnsi"/>
          <w:sz w:val="22"/>
          <w:szCs w:val="22"/>
        </w:rPr>
        <w:t>A.</w:t>
      </w:r>
      <w:r w:rsidR="00BB0610">
        <w:rPr>
          <w:rFonts w:cstheme="minorHAnsi"/>
          <w:sz w:val="22"/>
          <w:szCs w:val="22"/>
        </w:rPr>
        <w:t>,</w:t>
      </w:r>
      <w:r w:rsidRPr="00BB0610">
        <w:rPr>
          <w:rFonts w:cstheme="minorHAnsi"/>
          <w:sz w:val="22"/>
          <w:szCs w:val="22"/>
        </w:rPr>
        <w:t xml:space="preserve"> Dammers, </w:t>
      </w:r>
      <w:r w:rsidR="00BB0610" w:rsidRPr="00BB0610">
        <w:rPr>
          <w:rFonts w:cstheme="minorHAnsi"/>
          <w:sz w:val="22"/>
          <w:szCs w:val="22"/>
        </w:rPr>
        <w:t>E.</w:t>
      </w:r>
      <w:r w:rsidR="00BB0610">
        <w:rPr>
          <w:rFonts w:cstheme="minorHAnsi"/>
          <w:sz w:val="22"/>
          <w:szCs w:val="22"/>
        </w:rPr>
        <w:t>,</w:t>
      </w:r>
      <w:r w:rsidRPr="00BB0610">
        <w:rPr>
          <w:rFonts w:cstheme="minorHAnsi"/>
          <w:sz w:val="22"/>
          <w:szCs w:val="22"/>
        </w:rPr>
        <w:t xml:space="preserve"> Zhang, </w:t>
      </w:r>
      <w:r w:rsidR="00BB0610" w:rsidRPr="00BB0610">
        <w:rPr>
          <w:rFonts w:cstheme="minorHAnsi"/>
          <w:sz w:val="22"/>
          <w:szCs w:val="22"/>
        </w:rPr>
        <w:t>Q.</w:t>
      </w:r>
      <w:r w:rsidR="00BB0610">
        <w:rPr>
          <w:rFonts w:cstheme="minorHAnsi"/>
          <w:sz w:val="22"/>
          <w:szCs w:val="22"/>
        </w:rPr>
        <w:t>,</w:t>
      </w:r>
      <w:r w:rsidRPr="00BB0610">
        <w:rPr>
          <w:rFonts w:cstheme="minorHAnsi"/>
          <w:sz w:val="22"/>
          <w:szCs w:val="22"/>
        </w:rPr>
        <w:t xml:space="preserve"> Wang, </w:t>
      </w:r>
      <w:r w:rsidR="00BB0610" w:rsidRPr="00BB0610">
        <w:rPr>
          <w:rFonts w:cstheme="minorHAnsi"/>
          <w:sz w:val="22"/>
          <w:szCs w:val="22"/>
        </w:rPr>
        <w:t>L.</w:t>
      </w:r>
      <w:r w:rsidR="00BB0610">
        <w:rPr>
          <w:rFonts w:cstheme="minorHAnsi"/>
          <w:sz w:val="22"/>
          <w:szCs w:val="22"/>
        </w:rPr>
        <w:t>,</w:t>
      </w:r>
      <w:r w:rsidRPr="00BB0610">
        <w:rPr>
          <w:rFonts w:cstheme="minorHAnsi"/>
          <w:sz w:val="22"/>
          <w:szCs w:val="22"/>
        </w:rPr>
        <w:t xml:space="preserve"> Liu, </w:t>
      </w:r>
      <w:r w:rsidR="00BB0610" w:rsidRPr="00BB0610">
        <w:rPr>
          <w:rFonts w:cstheme="minorHAnsi"/>
          <w:sz w:val="22"/>
          <w:szCs w:val="22"/>
        </w:rPr>
        <w:t>Z.</w:t>
      </w:r>
      <w:r w:rsidR="00BB0610">
        <w:rPr>
          <w:rFonts w:cstheme="minorHAnsi"/>
          <w:sz w:val="22"/>
          <w:szCs w:val="22"/>
        </w:rPr>
        <w:t>,</w:t>
      </w:r>
      <w:r w:rsidRPr="00BB0610">
        <w:rPr>
          <w:rFonts w:cstheme="minorHAnsi"/>
          <w:sz w:val="22"/>
          <w:szCs w:val="22"/>
        </w:rPr>
        <w:t xml:space="preserve"> Zeng, </w:t>
      </w:r>
      <w:r w:rsidR="00BB0610" w:rsidRPr="00BB0610">
        <w:rPr>
          <w:rFonts w:cstheme="minorHAnsi"/>
          <w:sz w:val="22"/>
          <w:szCs w:val="22"/>
        </w:rPr>
        <w:t>L.</w:t>
      </w:r>
      <w:r w:rsidR="00BB0610">
        <w:rPr>
          <w:rFonts w:cstheme="minorHAnsi"/>
          <w:sz w:val="22"/>
          <w:szCs w:val="22"/>
        </w:rPr>
        <w:t>,</w:t>
      </w:r>
      <w:r w:rsidRPr="00BB0610">
        <w:rPr>
          <w:rFonts w:cstheme="minorHAnsi"/>
          <w:sz w:val="22"/>
          <w:szCs w:val="22"/>
        </w:rPr>
        <w:t xml:space="preserve"> Denier van der Gon, </w:t>
      </w:r>
      <w:r w:rsidR="00BB0610" w:rsidRPr="00BB0610">
        <w:rPr>
          <w:rFonts w:cstheme="minorHAnsi"/>
          <w:sz w:val="22"/>
          <w:szCs w:val="22"/>
        </w:rPr>
        <w:t>H.</w:t>
      </w:r>
      <w:r w:rsidR="00BB0610">
        <w:rPr>
          <w:rFonts w:cstheme="minorHAnsi"/>
          <w:sz w:val="22"/>
          <w:szCs w:val="22"/>
        </w:rPr>
        <w:t>,</w:t>
      </w:r>
      <w:r w:rsidRPr="00BB0610">
        <w:rPr>
          <w:rFonts w:cstheme="minorHAnsi"/>
          <w:sz w:val="22"/>
          <w:szCs w:val="22"/>
        </w:rPr>
        <w:t xml:space="preserve"> </w:t>
      </w:r>
      <w:r w:rsidR="00BB0610">
        <w:rPr>
          <w:rFonts w:cstheme="minorHAnsi"/>
          <w:sz w:val="22"/>
          <w:szCs w:val="22"/>
        </w:rPr>
        <w:t xml:space="preserve">and </w:t>
      </w:r>
      <w:r w:rsidRPr="00BB0610">
        <w:rPr>
          <w:rFonts w:cstheme="minorHAnsi"/>
          <w:sz w:val="22"/>
          <w:szCs w:val="22"/>
        </w:rPr>
        <w:t xml:space="preserve">Schaap, </w:t>
      </w:r>
      <w:r w:rsidR="00BB0610" w:rsidRPr="00BB0610">
        <w:rPr>
          <w:rFonts w:cstheme="minorHAnsi"/>
          <w:sz w:val="22"/>
          <w:szCs w:val="22"/>
        </w:rPr>
        <w:t>M.</w:t>
      </w:r>
      <w:r w:rsidR="00BB0610">
        <w:rPr>
          <w:rFonts w:cstheme="minorHAnsi"/>
          <w:sz w:val="22"/>
          <w:szCs w:val="22"/>
        </w:rPr>
        <w:t xml:space="preserve">, </w:t>
      </w:r>
      <w:r w:rsidRPr="002A0EE6">
        <w:rPr>
          <w:rFonts w:cstheme="minorHAnsi"/>
          <w:iCs/>
          <w:sz w:val="22"/>
          <w:szCs w:val="22"/>
        </w:rPr>
        <w:t>Source apportionment of PM2.5 across China using LOTOS-EUROS</w:t>
      </w:r>
      <w:r w:rsidRPr="00990957">
        <w:rPr>
          <w:rFonts w:cstheme="minorHAnsi"/>
          <w:sz w:val="22"/>
          <w:szCs w:val="22"/>
        </w:rPr>
        <w:t xml:space="preserve">, </w:t>
      </w:r>
      <w:r w:rsidRPr="002A0EE6">
        <w:rPr>
          <w:rFonts w:cstheme="minorHAnsi"/>
          <w:sz w:val="22"/>
          <w:szCs w:val="22"/>
        </w:rPr>
        <w:t xml:space="preserve">Atmospheric </w:t>
      </w:r>
      <w:r w:rsidRPr="002A0EE6">
        <w:rPr>
          <w:rFonts w:cstheme="minorHAnsi"/>
          <w:color w:val="000000" w:themeColor="text1"/>
          <w:sz w:val="22"/>
          <w:szCs w:val="22"/>
        </w:rPr>
        <w:t>Environment,</w:t>
      </w:r>
      <w:r w:rsidRPr="00990957">
        <w:rPr>
          <w:rFonts w:cstheme="minorHAnsi"/>
          <w:color w:val="000000" w:themeColor="text1"/>
          <w:sz w:val="22"/>
          <w:szCs w:val="22"/>
        </w:rPr>
        <w:t xml:space="preserve"> </w:t>
      </w:r>
      <w:hyperlink r:id="rId78" w:history="1">
        <w:r w:rsidRPr="00990957">
          <w:rPr>
            <w:rStyle w:val="Hyperlink"/>
            <w:rFonts w:cstheme="minorHAnsi"/>
            <w:color w:val="000000" w:themeColor="text1"/>
            <w:sz w:val="22"/>
            <w:szCs w:val="22"/>
            <w:u w:val="none"/>
          </w:rPr>
          <w:t>10.1016/j.atmosenv.2017.06.003</w:t>
        </w:r>
      </w:hyperlink>
      <w:r w:rsidRPr="00990957">
        <w:rPr>
          <w:rStyle w:val="Hyperlink"/>
          <w:rFonts w:cstheme="minorHAnsi"/>
          <w:color w:val="000000" w:themeColor="text1"/>
          <w:sz w:val="22"/>
          <w:szCs w:val="22"/>
          <w:u w:val="none"/>
        </w:rPr>
        <w:t>, 2017</w:t>
      </w:r>
    </w:p>
    <w:p w:rsidR="00F6191F" w:rsidRPr="00990957" w:rsidRDefault="00E5706D">
      <w:pPr>
        <w:spacing w:before="120"/>
        <w:ind w:left="360" w:hanging="360"/>
        <w:rPr>
          <w:rFonts w:cs="Times New Roman"/>
        </w:rPr>
      </w:pPr>
      <w:r w:rsidRPr="00BB0610">
        <w:rPr>
          <w:rFonts w:cs="Times New Roman"/>
          <w:color w:val="181717"/>
          <w:sz w:val="22"/>
          <w:szCs w:val="22"/>
          <w:lang w:val="hr-HR"/>
        </w:rPr>
        <w:t>Tie, X., Madronich, S., Walters, S., Rasch, P.</w:t>
      </w:r>
      <w:r w:rsidR="00BB0610">
        <w:rPr>
          <w:rFonts w:cs="Times New Roman"/>
          <w:color w:val="181717"/>
          <w:sz w:val="22"/>
          <w:szCs w:val="22"/>
          <w:lang w:val="hr-HR"/>
        </w:rPr>
        <w:t xml:space="preserve"> and</w:t>
      </w:r>
      <w:r w:rsidRPr="00BB0610">
        <w:rPr>
          <w:rFonts w:cs="Times New Roman"/>
          <w:color w:val="181717"/>
          <w:sz w:val="22"/>
          <w:szCs w:val="22"/>
          <w:lang w:val="hr-HR"/>
        </w:rPr>
        <w:t xml:space="preserve"> Collins, W</w:t>
      </w:r>
      <w:r w:rsidR="002A0EE6">
        <w:rPr>
          <w:rFonts w:cs="Times New Roman"/>
          <w:color w:val="181717"/>
          <w:sz w:val="22"/>
          <w:szCs w:val="22"/>
          <w:lang w:val="hr-HR"/>
        </w:rPr>
        <w:t>.:</w:t>
      </w:r>
      <w:r w:rsidRPr="00BB0610">
        <w:rPr>
          <w:rFonts w:cs="Times New Roman"/>
          <w:color w:val="181717"/>
          <w:sz w:val="22"/>
          <w:szCs w:val="22"/>
          <w:lang w:val="hr-HR"/>
        </w:rPr>
        <w:t xml:space="preserve"> Effect of clouds on photolysis and oxidants in the troposphere. </w:t>
      </w:r>
      <w:r w:rsidR="002A0EE6">
        <w:rPr>
          <w:rFonts w:cs="Times New Roman"/>
          <w:color w:val="181717"/>
          <w:sz w:val="22"/>
          <w:szCs w:val="22"/>
          <w:lang w:val="hr-HR"/>
        </w:rPr>
        <w:t>J. Geophys. Res.,</w:t>
      </w:r>
      <w:r w:rsidRPr="002A0EE6">
        <w:rPr>
          <w:rFonts w:cs="Times New Roman"/>
          <w:color w:val="181717"/>
          <w:sz w:val="22"/>
          <w:szCs w:val="22"/>
          <w:lang w:val="hr-HR"/>
        </w:rPr>
        <w:t xml:space="preserve"> 108,</w:t>
      </w:r>
      <w:r w:rsidRPr="00990957">
        <w:rPr>
          <w:rFonts w:cs="Times New Roman"/>
          <w:color w:val="181717"/>
          <w:sz w:val="22"/>
          <w:szCs w:val="22"/>
          <w:lang w:val="hr-HR"/>
        </w:rPr>
        <w:t xml:space="preserve"> 4642, 2003.</w:t>
      </w:r>
    </w:p>
    <w:p w:rsidR="00F6191F" w:rsidRPr="00990957" w:rsidRDefault="00E5706D">
      <w:pPr>
        <w:spacing w:before="120"/>
        <w:ind w:left="450" w:hanging="450"/>
        <w:jc w:val="both"/>
        <w:rPr>
          <w:sz w:val="22"/>
          <w:szCs w:val="22"/>
        </w:rPr>
      </w:pPr>
      <w:r w:rsidRPr="00BB0610">
        <w:rPr>
          <w:sz w:val="22"/>
          <w:szCs w:val="22"/>
        </w:rPr>
        <w:t xml:space="preserve">Vautard, R. et al., Is regional air quality model diversity representative of uncertainty for ozone simulation? </w:t>
      </w:r>
      <w:r w:rsidRPr="002A0EE6">
        <w:rPr>
          <w:sz w:val="22"/>
          <w:szCs w:val="22"/>
        </w:rPr>
        <w:t>Geophys. Res. Lett., 33,</w:t>
      </w:r>
      <w:r w:rsidRPr="00990957">
        <w:rPr>
          <w:sz w:val="22"/>
          <w:szCs w:val="22"/>
        </w:rPr>
        <w:t xml:space="preserve"> L24818, doi:10.1029/2006GL027610, 2006.</w:t>
      </w:r>
    </w:p>
    <w:p w:rsidR="00F6191F" w:rsidRPr="00990957" w:rsidRDefault="00E5706D">
      <w:pPr>
        <w:spacing w:before="120"/>
        <w:ind w:left="450" w:hanging="450"/>
        <w:jc w:val="both"/>
        <w:rPr>
          <w:sz w:val="22"/>
          <w:szCs w:val="22"/>
        </w:rPr>
      </w:pPr>
      <w:r w:rsidRPr="00BB0610">
        <w:rPr>
          <w:color w:val="000000"/>
          <w:sz w:val="22"/>
          <w:szCs w:val="22"/>
        </w:rPr>
        <w:t xml:space="preserve">Wesely, M.: Parameterization of Surface Resistances to Gaseous </w:t>
      </w:r>
      <w:r w:rsidRPr="00BB0610">
        <w:rPr>
          <w:sz w:val="22"/>
          <w:szCs w:val="22"/>
        </w:rPr>
        <w:t xml:space="preserve">Dry Deposition in Regional-Scale Numerical Models, </w:t>
      </w:r>
      <w:r w:rsidRPr="002A0EE6">
        <w:rPr>
          <w:sz w:val="22"/>
          <w:szCs w:val="22"/>
        </w:rPr>
        <w:t>Atmos. Environ., 23,</w:t>
      </w:r>
      <w:r w:rsidRPr="00990957">
        <w:rPr>
          <w:sz w:val="22"/>
          <w:szCs w:val="22"/>
        </w:rPr>
        <w:t xml:space="preserve"> 1293–1304, 1989</w:t>
      </w:r>
    </w:p>
    <w:p w:rsidR="00F6191F" w:rsidRPr="00990957" w:rsidRDefault="00E5706D">
      <w:pPr>
        <w:spacing w:before="120"/>
        <w:ind w:left="450" w:hanging="450"/>
        <w:jc w:val="both"/>
        <w:rPr>
          <w:rFonts w:eastAsia="Times New Roman" w:cs="Times New Roman"/>
          <w:sz w:val="22"/>
          <w:szCs w:val="22"/>
          <w:lang w:eastAsia="nb-NO"/>
        </w:rPr>
      </w:pPr>
      <w:r w:rsidRPr="00BB0610">
        <w:rPr>
          <w:rFonts w:eastAsia="Times New Roman" w:cs="Times New Roman"/>
          <w:sz w:val="22"/>
          <w:szCs w:val="22"/>
          <w:lang w:eastAsia="nb-NO"/>
        </w:rPr>
        <w:t xml:space="preserve">Wild, O., Fiore, A. M., Shindell, D. T., Doherty, R. M., Collins, W. J., Dentener, F. J., Schultz, M. G., Gong, S., MacKenzie, I. A., Zeng, G., Hess, P., Duncan, B. N., Bergmann, D. J., Szopa, S., Jonson, J. E., Keating, T. J., and Zuber, A.: Modelling future changes in surface ozone: a parameterized approach, </w:t>
      </w:r>
      <w:r w:rsidRPr="002A0EE6">
        <w:rPr>
          <w:rFonts w:eastAsia="Times New Roman" w:cs="Times New Roman"/>
          <w:sz w:val="22"/>
          <w:szCs w:val="22"/>
          <w:lang w:eastAsia="nb-NO"/>
        </w:rPr>
        <w:t>Atmos. Chem. Phys., 12</w:t>
      </w:r>
      <w:r w:rsidRPr="00990957">
        <w:rPr>
          <w:rFonts w:eastAsia="Times New Roman" w:cs="Times New Roman"/>
          <w:sz w:val="22"/>
          <w:szCs w:val="22"/>
          <w:lang w:eastAsia="nb-NO"/>
        </w:rPr>
        <w:t>, 2037-2054, doi:10.5194/acp-12-2037-2012, 2012.</w:t>
      </w:r>
    </w:p>
    <w:p w:rsidR="00F6191F" w:rsidRPr="00990957" w:rsidRDefault="00E5706D">
      <w:pPr>
        <w:spacing w:before="120"/>
        <w:ind w:left="450" w:hanging="450"/>
        <w:jc w:val="both"/>
        <w:rPr>
          <w:rFonts w:eastAsiaTheme="minorEastAsia"/>
          <w:sz w:val="22"/>
          <w:szCs w:val="22"/>
        </w:rPr>
      </w:pPr>
      <w:r w:rsidRPr="00BB0610">
        <w:rPr>
          <w:color w:val="000000"/>
          <w:sz w:val="22"/>
          <w:szCs w:val="22"/>
        </w:rPr>
        <w:t xml:space="preserve">Wild, O., Zhu, X., and Prather, M. J.: Fast-J: Accurate Simulation of </w:t>
      </w:r>
      <w:r w:rsidRPr="00BB0610">
        <w:rPr>
          <w:sz w:val="22"/>
          <w:szCs w:val="22"/>
        </w:rPr>
        <w:t xml:space="preserve">In- and Below-Cloud Photolysis in Tropospheric Chemical Models, </w:t>
      </w:r>
      <w:r w:rsidRPr="002A0EE6">
        <w:rPr>
          <w:sz w:val="22"/>
          <w:szCs w:val="22"/>
        </w:rPr>
        <w:t>J. Atmos. Chem., 37</w:t>
      </w:r>
      <w:r w:rsidRPr="00990957">
        <w:rPr>
          <w:sz w:val="22"/>
          <w:szCs w:val="22"/>
        </w:rPr>
        <w:t>, 245–282, 2000</w:t>
      </w:r>
    </w:p>
    <w:p w:rsidR="00F6191F" w:rsidRPr="00990957" w:rsidRDefault="00E5706D">
      <w:pPr>
        <w:spacing w:before="120"/>
        <w:ind w:left="450" w:hanging="450"/>
        <w:jc w:val="both"/>
        <w:rPr>
          <w:sz w:val="22"/>
          <w:szCs w:val="22"/>
        </w:rPr>
      </w:pPr>
      <w:r w:rsidRPr="00BB0610">
        <w:rPr>
          <w:sz w:val="22"/>
          <w:szCs w:val="22"/>
        </w:rPr>
        <w:t xml:space="preserve">Yarwood, G., Rao, </w:t>
      </w:r>
      <w:r w:rsidR="00BB0610" w:rsidRPr="00BB0610">
        <w:rPr>
          <w:sz w:val="22"/>
          <w:szCs w:val="22"/>
        </w:rPr>
        <w:t>S.</w:t>
      </w:r>
      <w:r w:rsidR="00BB0610">
        <w:rPr>
          <w:sz w:val="22"/>
          <w:szCs w:val="22"/>
        </w:rPr>
        <w:t>,</w:t>
      </w:r>
      <w:r w:rsidRPr="00BB0610">
        <w:rPr>
          <w:sz w:val="22"/>
          <w:szCs w:val="22"/>
        </w:rPr>
        <w:t xml:space="preserve"> Yocke, </w:t>
      </w:r>
      <w:r w:rsidR="00BB0610" w:rsidRPr="00BB0610">
        <w:rPr>
          <w:sz w:val="22"/>
          <w:szCs w:val="22"/>
        </w:rPr>
        <w:t>M.</w:t>
      </w:r>
      <w:r w:rsidR="00BB0610">
        <w:rPr>
          <w:sz w:val="22"/>
          <w:szCs w:val="22"/>
        </w:rPr>
        <w:t xml:space="preserve"> </w:t>
      </w:r>
      <w:r w:rsidRPr="00BB0610">
        <w:rPr>
          <w:sz w:val="22"/>
          <w:szCs w:val="22"/>
        </w:rPr>
        <w:t>and Whitten</w:t>
      </w:r>
      <w:r w:rsidR="00BB0610">
        <w:rPr>
          <w:sz w:val="22"/>
          <w:szCs w:val="22"/>
        </w:rPr>
        <w:t>,</w:t>
      </w:r>
      <w:r w:rsidRPr="00BB0610">
        <w:rPr>
          <w:sz w:val="22"/>
          <w:szCs w:val="22"/>
        </w:rPr>
        <w:t xml:space="preserve"> </w:t>
      </w:r>
      <w:r w:rsidR="00BB0610" w:rsidRPr="00BB0610">
        <w:rPr>
          <w:sz w:val="22"/>
          <w:szCs w:val="22"/>
        </w:rPr>
        <w:t>G.</w:t>
      </w:r>
      <w:r w:rsidR="002A0EE6">
        <w:rPr>
          <w:sz w:val="22"/>
          <w:szCs w:val="22"/>
        </w:rPr>
        <w:t>:</w:t>
      </w:r>
      <w:r w:rsidR="00BB0610">
        <w:rPr>
          <w:sz w:val="22"/>
          <w:szCs w:val="22"/>
        </w:rPr>
        <w:t xml:space="preserve"> </w:t>
      </w:r>
      <w:r w:rsidRPr="00BB0610">
        <w:rPr>
          <w:sz w:val="22"/>
          <w:szCs w:val="22"/>
        </w:rPr>
        <w:t xml:space="preserve">Updates to the Carbon Bond Chemical Mechanism: CB05, </w:t>
      </w:r>
      <w:r w:rsidRPr="002A0EE6">
        <w:rPr>
          <w:sz w:val="22"/>
          <w:szCs w:val="22"/>
        </w:rPr>
        <w:t>Final Report to the U.S. EPA</w:t>
      </w:r>
      <w:r w:rsidRPr="00990957">
        <w:rPr>
          <w:sz w:val="22"/>
          <w:szCs w:val="22"/>
        </w:rPr>
        <w:t>, RT-04-00675, RTP, NC, 2005.</w:t>
      </w:r>
    </w:p>
    <w:p w:rsidR="00F6191F" w:rsidRPr="00990957" w:rsidRDefault="00E5706D">
      <w:pPr>
        <w:spacing w:before="120"/>
        <w:ind w:left="450" w:hanging="450"/>
        <w:jc w:val="both"/>
        <w:rPr>
          <w:rStyle w:val="HTMLCite"/>
          <w:i w:val="0"/>
          <w:iCs w:val="0"/>
          <w:sz w:val="22"/>
          <w:szCs w:val="22"/>
        </w:rPr>
      </w:pPr>
      <w:r w:rsidRPr="00990957">
        <w:rPr>
          <w:rStyle w:val="author"/>
          <w:rFonts w:cs="Times New Roman"/>
          <w:iCs/>
          <w:sz w:val="22"/>
          <w:szCs w:val="22"/>
          <w:lang w:val="en-US"/>
        </w:rPr>
        <w:t>Zaveri, R. A.</w:t>
      </w:r>
      <w:r w:rsidRPr="002A0EE6">
        <w:rPr>
          <w:rStyle w:val="HTMLCite"/>
          <w:rFonts w:cs="Times New Roman"/>
          <w:i w:val="0"/>
          <w:sz w:val="22"/>
          <w:szCs w:val="22"/>
          <w:lang w:val="en-US"/>
        </w:rPr>
        <w:t xml:space="preserve">, </w:t>
      </w:r>
      <w:r w:rsidRPr="00990957">
        <w:rPr>
          <w:rStyle w:val="author"/>
          <w:rFonts w:cs="Times New Roman"/>
          <w:iCs/>
          <w:sz w:val="22"/>
          <w:szCs w:val="22"/>
          <w:lang w:val="en-US"/>
        </w:rPr>
        <w:t>Easter</w:t>
      </w:r>
      <w:r w:rsidRPr="002A0EE6">
        <w:rPr>
          <w:rStyle w:val="HTMLCite"/>
          <w:rFonts w:cs="Times New Roman"/>
          <w:i w:val="0"/>
          <w:sz w:val="22"/>
          <w:szCs w:val="22"/>
          <w:lang w:val="en-US"/>
        </w:rPr>
        <w:t xml:space="preserve">, </w:t>
      </w:r>
      <w:r w:rsidRPr="00990957">
        <w:rPr>
          <w:rStyle w:val="author"/>
          <w:rFonts w:cs="Times New Roman"/>
          <w:iCs/>
          <w:sz w:val="22"/>
          <w:szCs w:val="22"/>
          <w:lang w:val="en-US"/>
        </w:rPr>
        <w:t>R. C., Fast</w:t>
      </w:r>
      <w:r w:rsidRPr="002A0EE6">
        <w:rPr>
          <w:rStyle w:val="HTMLCite"/>
          <w:rFonts w:cs="Times New Roman"/>
          <w:i w:val="0"/>
          <w:sz w:val="22"/>
          <w:szCs w:val="22"/>
          <w:lang w:val="en-US"/>
        </w:rPr>
        <w:t>,</w:t>
      </w:r>
      <w:r w:rsidRPr="00990957">
        <w:rPr>
          <w:rFonts w:cs="Times New Roman"/>
          <w:iCs/>
          <w:sz w:val="22"/>
          <w:szCs w:val="22"/>
          <w:lang w:val="en-US"/>
        </w:rPr>
        <w:t xml:space="preserve"> </w:t>
      </w:r>
      <w:r w:rsidRPr="00990957">
        <w:rPr>
          <w:rStyle w:val="author"/>
          <w:rFonts w:cs="Times New Roman"/>
          <w:iCs/>
          <w:sz w:val="22"/>
          <w:szCs w:val="22"/>
          <w:lang w:val="en-US"/>
        </w:rPr>
        <w:t xml:space="preserve">J. D., </w:t>
      </w:r>
      <w:r w:rsidRPr="00990957">
        <w:rPr>
          <w:rStyle w:val="author"/>
          <w:rFonts w:cs="Times New Roman"/>
          <w:iCs/>
          <w:sz w:val="22"/>
          <w:szCs w:val="22"/>
        </w:rPr>
        <w:t>Peters, L. K.</w:t>
      </w:r>
      <w:r w:rsidR="002A0EE6">
        <w:rPr>
          <w:rStyle w:val="author"/>
          <w:rFonts w:cs="Times New Roman"/>
          <w:iCs/>
          <w:sz w:val="22"/>
          <w:szCs w:val="22"/>
        </w:rPr>
        <w:t>:</w:t>
      </w:r>
      <w:r w:rsidRPr="002A0EE6">
        <w:rPr>
          <w:rStyle w:val="HTMLCite"/>
          <w:rFonts w:cs="Times New Roman"/>
          <w:i w:val="0"/>
          <w:sz w:val="22"/>
          <w:szCs w:val="22"/>
        </w:rPr>
        <w:t xml:space="preserve"> </w:t>
      </w:r>
      <w:r w:rsidRPr="00990957">
        <w:rPr>
          <w:rStyle w:val="articletitle"/>
          <w:rFonts w:cs="Times New Roman"/>
          <w:iCs/>
          <w:sz w:val="22"/>
          <w:szCs w:val="22"/>
        </w:rPr>
        <w:t>Model for Simulating Aerosol Interactions and Chemistry (MOSAIC</w:t>
      </w:r>
      <w:r w:rsidRPr="002A0EE6">
        <w:rPr>
          <w:rStyle w:val="articletitle"/>
          <w:rFonts w:cs="Times New Roman"/>
          <w:iCs/>
          <w:sz w:val="22"/>
          <w:szCs w:val="22"/>
        </w:rPr>
        <w:t>)</w:t>
      </w:r>
      <w:r w:rsidRPr="00990957">
        <w:rPr>
          <w:rStyle w:val="HTMLCite"/>
          <w:rFonts w:cs="Times New Roman"/>
          <w:i w:val="0"/>
          <w:sz w:val="22"/>
          <w:szCs w:val="22"/>
        </w:rPr>
        <w:t xml:space="preserve">, </w:t>
      </w:r>
      <w:r w:rsidRPr="002A0EE6">
        <w:rPr>
          <w:rStyle w:val="journaltitle"/>
          <w:rFonts w:cs="Times New Roman"/>
          <w:iCs/>
          <w:sz w:val="22"/>
          <w:szCs w:val="22"/>
        </w:rPr>
        <w:t>J. Geophys. Res.</w:t>
      </w:r>
      <w:r w:rsidRPr="00990957">
        <w:rPr>
          <w:rStyle w:val="HTMLCite"/>
          <w:rFonts w:cs="Times New Roman"/>
          <w:i w:val="0"/>
          <w:sz w:val="22"/>
          <w:szCs w:val="22"/>
        </w:rPr>
        <w:t xml:space="preserve">, </w:t>
      </w:r>
      <w:r w:rsidRPr="002A0EE6">
        <w:rPr>
          <w:rStyle w:val="vol"/>
          <w:rFonts w:cs="Times New Roman"/>
          <w:iCs/>
          <w:sz w:val="22"/>
          <w:szCs w:val="22"/>
        </w:rPr>
        <w:t>113</w:t>
      </w:r>
      <w:r w:rsidRPr="002A0EE6">
        <w:rPr>
          <w:rStyle w:val="HTMLCite"/>
          <w:rFonts w:cs="Times New Roman"/>
          <w:i w:val="0"/>
          <w:sz w:val="22"/>
          <w:szCs w:val="22"/>
        </w:rPr>
        <w:t>, D13204, doi:</w:t>
      </w:r>
      <w:hyperlink r:id="rId79" w:tgtFrame="_blank" w:tooltip="Link to external resource: 10.1029/2007JD008782" w:history="1">
        <w:r w:rsidRPr="00990957">
          <w:rPr>
            <w:rStyle w:val="Hyperlink"/>
            <w:rFonts w:cs="Times New Roman"/>
            <w:iCs/>
            <w:color w:val="auto"/>
            <w:sz w:val="22"/>
            <w:szCs w:val="22"/>
            <w:u w:val="none"/>
          </w:rPr>
          <w:t>10.1029/2007JD008782</w:t>
        </w:r>
      </w:hyperlink>
      <w:r w:rsidRPr="002A0EE6">
        <w:rPr>
          <w:rStyle w:val="HTMLCite"/>
          <w:rFonts w:cs="Times New Roman"/>
          <w:i w:val="0"/>
          <w:sz w:val="22"/>
          <w:szCs w:val="22"/>
        </w:rPr>
        <w:t xml:space="preserve">, </w:t>
      </w:r>
      <w:r w:rsidRPr="00990957">
        <w:rPr>
          <w:rStyle w:val="HTMLCite"/>
          <w:rFonts w:cs="Times New Roman"/>
          <w:i w:val="0"/>
          <w:sz w:val="22"/>
          <w:szCs w:val="22"/>
        </w:rPr>
        <w:t>2008</w:t>
      </w:r>
      <w:r w:rsidRPr="002A0EE6">
        <w:rPr>
          <w:rStyle w:val="HTMLCite"/>
          <w:rFonts w:cs="Times New Roman"/>
          <w:i w:val="0"/>
          <w:sz w:val="22"/>
          <w:szCs w:val="22"/>
        </w:rPr>
        <w:t xml:space="preserve">. </w:t>
      </w:r>
    </w:p>
    <w:p w:rsidR="00F6191F" w:rsidRPr="00990957" w:rsidRDefault="00E5706D">
      <w:pPr>
        <w:spacing w:before="120"/>
        <w:ind w:left="450" w:hanging="450"/>
        <w:jc w:val="both"/>
        <w:rPr>
          <w:sz w:val="22"/>
          <w:szCs w:val="22"/>
        </w:rPr>
      </w:pPr>
      <w:r w:rsidRPr="00BB0610">
        <w:rPr>
          <w:sz w:val="22"/>
          <w:szCs w:val="22"/>
          <w:lang w:val="en-US" w:eastAsia="zh-CN"/>
        </w:rPr>
        <w:t xml:space="preserve">Zheng, B., Zhang, Q., Zhang, Y., He, K. </w:t>
      </w:r>
      <w:proofErr w:type="gramStart"/>
      <w:r w:rsidRPr="00BB0610">
        <w:rPr>
          <w:sz w:val="22"/>
          <w:szCs w:val="22"/>
          <w:lang w:val="en-US" w:eastAsia="zh-CN"/>
        </w:rPr>
        <w:t>B.,Wang</w:t>
      </w:r>
      <w:proofErr w:type="gramEnd"/>
      <w:r w:rsidRPr="00BB0610">
        <w:rPr>
          <w:sz w:val="22"/>
          <w:szCs w:val="22"/>
          <w:lang w:val="en-US" w:eastAsia="zh-CN"/>
        </w:rPr>
        <w:t>, K., Zheng, G. J.,</w:t>
      </w:r>
      <w:r w:rsidRPr="00BB0610">
        <w:rPr>
          <w:rFonts w:hint="eastAsia"/>
          <w:sz w:val="22"/>
          <w:szCs w:val="22"/>
          <w:lang w:val="en-US" w:eastAsia="zh-CN"/>
        </w:rPr>
        <w:t xml:space="preserve"> </w:t>
      </w:r>
      <w:r w:rsidRPr="00BB0610">
        <w:rPr>
          <w:sz w:val="22"/>
          <w:szCs w:val="22"/>
          <w:lang w:val="en-US" w:eastAsia="zh-CN"/>
        </w:rPr>
        <w:t>Duan, F. K., Ma, Y. L., and Kimoto, T.: Heterogeneous chemistry:</w:t>
      </w:r>
      <w:r w:rsidRPr="00BB0610">
        <w:rPr>
          <w:rFonts w:hint="eastAsia"/>
          <w:sz w:val="22"/>
          <w:szCs w:val="22"/>
          <w:lang w:val="en-US" w:eastAsia="zh-CN"/>
        </w:rPr>
        <w:t xml:space="preserve"> </w:t>
      </w:r>
      <w:r w:rsidRPr="00BB0610">
        <w:rPr>
          <w:sz w:val="22"/>
          <w:szCs w:val="22"/>
          <w:lang w:val="en-US" w:eastAsia="zh-CN"/>
        </w:rPr>
        <w:t>a mechanism missing in current models to explain secondary</w:t>
      </w:r>
      <w:r w:rsidRPr="00BB0610">
        <w:rPr>
          <w:rFonts w:hint="eastAsia"/>
          <w:sz w:val="22"/>
          <w:szCs w:val="22"/>
          <w:lang w:val="en-US" w:eastAsia="zh-CN"/>
        </w:rPr>
        <w:t xml:space="preserve"> </w:t>
      </w:r>
      <w:r w:rsidRPr="00BB0610">
        <w:rPr>
          <w:sz w:val="22"/>
          <w:szCs w:val="22"/>
          <w:lang w:val="en-US" w:eastAsia="zh-CN"/>
        </w:rPr>
        <w:t>inorganic aerosol formation during the January 2013 haze</w:t>
      </w:r>
      <w:r w:rsidRPr="00BB0610">
        <w:rPr>
          <w:rFonts w:hint="eastAsia"/>
          <w:sz w:val="22"/>
          <w:szCs w:val="22"/>
          <w:lang w:val="en-US" w:eastAsia="zh-CN"/>
        </w:rPr>
        <w:t xml:space="preserve"> </w:t>
      </w:r>
      <w:r w:rsidRPr="00BB0610">
        <w:rPr>
          <w:sz w:val="22"/>
          <w:szCs w:val="22"/>
          <w:lang w:val="en-US" w:eastAsia="zh-CN"/>
        </w:rPr>
        <w:t xml:space="preserve">episode in North China, </w:t>
      </w:r>
      <w:r w:rsidRPr="002A0EE6">
        <w:rPr>
          <w:sz w:val="22"/>
          <w:szCs w:val="22"/>
          <w:lang w:val="en-US" w:eastAsia="zh-CN"/>
        </w:rPr>
        <w:t>Atmos. Chem. Phys., 15</w:t>
      </w:r>
      <w:r w:rsidRPr="00990957">
        <w:rPr>
          <w:sz w:val="22"/>
          <w:szCs w:val="22"/>
          <w:lang w:val="en-US" w:eastAsia="zh-CN"/>
        </w:rPr>
        <w:t>, 2031–2049,</w:t>
      </w:r>
      <w:r w:rsidRPr="00990957">
        <w:rPr>
          <w:rFonts w:hint="eastAsia"/>
          <w:sz w:val="22"/>
          <w:szCs w:val="22"/>
          <w:lang w:val="en-US" w:eastAsia="zh-CN"/>
        </w:rPr>
        <w:t xml:space="preserve"> </w:t>
      </w:r>
      <w:r w:rsidRPr="00990957">
        <w:rPr>
          <w:sz w:val="22"/>
          <w:szCs w:val="22"/>
          <w:lang w:val="en-US" w:eastAsia="zh-CN"/>
        </w:rPr>
        <w:t>doi:10.5194/acp-15-2031-2015, 2015.</w:t>
      </w:r>
    </w:p>
    <w:p w:rsidR="00F6191F" w:rsidRPr="00BB0610" w:rsidRDefault="00F6191F">
      <w:pPr>
        <w:spacing w:before="120"/>
        <w:ind w:left="446" w:hanging="446"/>
        <w:jc w:val="both"/>
        <w:rPr>
          <w:rFonts w:cs="Times New Roman"/>
          <w:iCs/>
          <w:sz w:val="22"/>
          <w:szCs w:val="22"/>
        </w:rPr>
      </w:pPr>
    </w:p>
    <w:p w:rsidR="00F6191F" w:rsidRPr="00BB0610" w:rsidRDefault="00F6191F">
      <w:pPr>
        <w:jc w:val="both"/>
        <w:rPr>
          <w:lang w:val="nl-NL"/>
        </w:rPr>
      </w:pPr>
    </w:p>
    <w:p w:rsidR="00F6191F" w:rsidRPr="00BB0610" w:rsidRDefault="00F6191F">
      <w:pPr>
        <w:jc w:val="both"/>
        <w:rPr>
          <w:rFonts w:ascii="Times New Roman" w:hAnsi="Times New Roman" w:cs="Times New Roman"/>
          <w:color w:val="000000"/>
        </w:rPr>
      </w:pPr>
    </w:p>
    <w:p w:rsidR="00F6191F" w:rsidRDefault="00F6191F">
      <w:pPr>
        <w:jc w:val="both"/>
        <w:rPr>
          <w:lang w:val="nl-NL"/>
        </w:rPr>
      </w:pPr>
    </w:p>
    <w:sectPr w:rsidR="00F6191F">
      <w:footerReference w:type="even" r:id="rId80"/>
      <w:footerReference w:type="default" r:id="rId81"/>
      <w:pgSz w:w="11900" w:h="16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95583" w:rsidRDefault="00895583">
      <w:r>
        <w:separator/>
      </w:r>
    </w:p>
  </w:endnote>
  <w:endnote w:type="continuationSeparator" w:id="0">
    <w:p w:rsidR="00895583" w:rsidRDefault="008955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A00002EF" w:usb1="4000207B" w:usb2="00000000" w:usb3="00000000" w:csb0="000000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Liberation Serif">
    <w:altName w:val="Times New Roman"/>
    <w:panose1 w:val="020B0604020202020204"/>
    <w:charset w:val="01"/>
    <w:family w:val="roman"/>
    <w:pitch w:val="default"/>
  </w:font>
  <w:font w:name="Noto Sans CJK SC Regular">
    <w:panose1 w:val="020B0604020202020204"/>
    <w:charset w:val="00"/>
    <w:family w:val="roman"/>
    <w:pitch w:val="default"/>
  </w:font>
  <w:font w:name="FreeSans">
    <w:altName w:val="Cambria"/>
    <w:panose1 w:val="020B0604020202020204"/>
    <w:charset w:val="00"/>
    <w:family w:val="roman"/>
    <w:pitch w:val="default"/>
  </w:font>
  <w:font w:name="Arial">
    <w:panose1 w:val="020B0604020202020204"/>
    <w:charset w:val="00"/>
    <w:family w:val="swiss"/>
    <w:pitch w:val="variable"/>
    <w:sig w:usb0="E0002AFF" w:usb1="C0007843" w:usb2="00000009" w:usb3="00000000" w:csb0="000001FF" w:csb1="00000000"/>
  </w:font>
  <w:font w:name="AdvOT863180fb">
    <w:altName w:val="Times New Roman"/>
    <w:panose1 w:val="020B0604020202020204"/>
    <w:charset w:val="00"/>
    <w:family w:val="auto"/>
    <w:pitch w:val="default"/>
    <w:sig w:usb0="00000000" w:usb1="00000000" w:usb2="00000010" w:usb3="00000000" w:csb0="00040001"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decorative"/>
    <w:pitch w:val="variable"/>
    <w:sig w:usb0="00000000" w:usb1="10000000" w:usb2="00000000" w:usb3="00000000" w:csb0="80000000" w:csb1="00000000"/>
  </w:font>
  <w:font w:name="Didot">
    <w:panose1 w:val="02000503000000020003"/>
    <w:charset w:val="00"/>
    <w:family w:val="auto"/>
    <w:pitch w:val="variable"/>
    <w:sig w:usb0="80000867" w:usb1="00000000" w:usb2="00000000" w:usb3="00000000" w:csb0="000001FB" w:csb1="00000000"/>
  </w:font>
  <w:font w:name="Helvetica">
    <w:panose1 w:val="00000000000000000000"/>
    <w:charset w:val="00"/>
    <w:family w:val="auto"/>
    <w:pitch w:val="variable"/>
    <w:sig w:usb0="E00002FF" w:usb1="5000785B" w:usb2="00000000" w:usb3="00000000" w:csb0="000001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0957" w:rsidRDefault="0099095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90957" w:rsidRDefault="0099095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0957" w:rsidRDefault="0099095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51</w:t>
    </w:r>
    <w:r>
      <w:rPr>
        <w:rStyle w:val="PageNumber"/>
      </w:rPr>
      <w:fldChar w:fldCharType="end"/>
    </w:r>
  </w:p>
  <w:p w:rsidR="00990957" w:rsidRDefault="0099095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95583" w:rsidRDefault="00895583">
      <w:r>
        <w:separator/>
      </w:r>
    </w:p>
  </w:footnote>
  <w:footnote w:type="continuationSeparator" w:id="0">
    <w:p w:rsidR="00895583" w:rsidRDefault="00895583">
      <w:r>
        <w:continuationSeparator/>
      </w:r>
    </w:p>
  </w:footnote>
  <w:footnote w:id="1">
    <w:p w:rsidR="00990957" w:rsidRPr="0062538A" w:rsidRDefault="00990957" w:rsidP="0062538A">
      <w:pPr>
        <w:pStyle w:val="FootnoteText"/>
        <w:jc w:val="both"/>
        <w:rPr>
          <w:sz w:val="21"/>
          <w:szCs w:val="21"/>
          <w:lang w:val="en-US"/>
        </w:rPr>
      </w:pPr>
      <w:r w:rsidRPr="0062538A">
        <w:rPr>
          <w:rStyle w:val="FootnoteReference"/>
          <w:sz w:val="21"/>
          <w:szCs w:val="21"/>
        </w:rPr>
        <w:footnoteRef/>
      </w:r>
      <w:r w:rsidRPr="0062538A">
        <w:rPr>
          <w:sz w:val="21"/>
          <w:szCs w:val="21"/>
        </w:rPr>
        <w:t xml:space="preserve"> Non</w:t>
      </w:r>
      <w:r w:rsidR="0062538A" w:rsidRPr="0062538A">
        <w:rPr>
          <w:sz w:val="21"/>
          <w:szCs w:val="21"/>
        </w:rPr>
        <w:t>e</w:t>
      </w:r>
      <w:r w:rsidRPr="0062538A">
        <w:rPr>
          <w:sz w:val="21"/>
          <w:szCs w:val="21"/>
        </w:rPr>
        <w:t xml:space="preserve"> during the inter-comparison exercise. Since summer 2017, however, the NOx emissions have been reduced by 35% in this particular model. The present version of the model also calculates windblown dust emissions from soil erosion.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A4C78C9"/>
    <w:multiLevelType w:val="multilevel"/>
    <w:tmpl w:val="4A4C78C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6A3D763B"/>
    <w:multiLevelType w:val="multilevel"/>
    <w:tmpl w:val="6A3D763B"/>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8"/>
  <w:proofState w:grammar="clean"/>
  <w:defaultTabStop w:val="720"/>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486C"/>
    <w:rsid w:val="00001424"/>
    <w:rsid w:val="0000532D"/>
    <w:rsid w:val="00010BB6"/>
    <w:rsid w:val="00011BBA"/>
    <w:rsid w:val="00026EBB"/>
    <w:rsid w:val="000306F5"/>
    <w:rsid w:val="000320E2"/>
    <w:rsid w:val="00037DF7"/>
    <w:rsid w:val="000412CD"/>
    <w:rsid w:val="000456B0"/>
    <w:rsid w:val="000518DD"/>
    <w:rsid w:val="0005203E"/>
    <w:rsid w:val="00057C34"/>
    <w:rsid w:val="00063519"/>
    <w:rsid w:val="00067C1D"/>
    <w:rsid w:val="0007297C"/>
    <w:rsid w:val="00074A38"/>
    <w:rsid w:val="000756BE"/>
    <w:rsid w:val="00076D6B"/>
    <w:rsid w:val="00082928"/>
    <w:rsid w:val="00094191"/>
    <w:rsid w:val="000A36C7"/>
    <w:rsid w:val="000A6D65"/>
    <w:rsid w:val="000A6DB3"/>
    <w:rsid w:val="000C0D0A"/>
    <w:rsid w:val="000C3A4F"/>
    <w:rsid w:val="000D04CA"/>
    <w:rsid w:val="000D3E9D"/>
    <w:rsid w:val="000E23B5"/>
    <w:rsid w:val="000E5533"/>
    <w:rsid w:val="000E7304"/>
    <w:rsid w:val="000F0C6A"/>
    <w:rsid w:val="000F2C7C"/>
    <w:rsid w:val="000F2E60"/>
    <w:rsid w:val="000F548E"/>
    <w:rsid w:val="000F56E6"/>
    <w:rsid w:val="00102A84"/>
    <w:rsid w:val="0011061A"/>
    <w:rsid w:val="00111F80"/>
    <w:rsid w:val="00152D1C"/>
    <w:rsid w:val="00154275"/>
    <w:rsid w:val="00155FB2"/>
    <w:rsid w:val="001627F3"/>
    <w:rsid w:val="0016481A"/>
    <w:rsid w:val="00167D81"/>
    <w:rsid w:val="001700AC"/>
    <w:rsid w:val="00170164"/>
    <w:rsid w:val="00171441"/>
    <w:rsid w:val="0017446E"/>
    <w:rsid w:val="00174C9B"/>
    <w:rsid w:val="001926AC"/>
    <w:rsid w:val="001961B2"/>
    <w:rsid w:val="001964DD"/>
    <w:rsid w:val="001A7607"/>
    <w:rsid w:val="001B3FBC"/>
    <w:rsid w:val="001B7D80"/>
    <w:rsid w:val="001C1592"/>
    <w:rsid w:val="001C5506"/>
    <w:rsid w:val="001D4A56"/>
    <w:rsid w:val="001D6FC4"/>
    <w:rsid w:val="001E3811"/>
    <w:rsid w:val="001E67E4"/>
    <w:rsid w:val="00200A52"/>
    <w:rsid w:val="002010C9"/>
    <w:rsid w:val="00201C3C"/>
    <w:rsid w:val="00204390"/>
    <w:rsid w:val="002049B9"/>
    <w:rsid w:val="0021486D"/>
    <w:rsid w:val="00217760"/>
    <w:rsid w:val="00222096"/>
    <w:rsid w:val="002239E7"/>
    <w:rsid w:val="0022657A"/>
    <w:rsid w:val="00226AE1"/>
    <w:rsid w:val="00234828"/>
    <w:rsid w:val="002360D8"/>
    <w:rsid w:val="00244FD2"/>
    <w:rsid w:val="00245DB5"/>
    <w:rsid w:val="00252B10"/>
    <w:rsid w:val="0026179F"/>
    <w:rsid w:val="00262A3E"/>
    <w:rsid w:val="00262F92"/>
    <w:rsid w:val="00263AB6"/>
    <w:rsid w:val="0027047A"/>
    <w:rsid w:val="00275EA5"/>
    <w:rsid w:val="0027769C"/>
    <w:rsid w:val="002804BE"/>
    <w:rsid w:val="002862D6"/>
    <w:rsid w:val="002875BC"/>
    <w:rsid w:val="00295CAF"/>
    <w:rsid w:val="00297F64"/>
    <w:rsid w:val="002A0EE6"/>
    <w:rsid w:val="002C3E4A"/>
    <w:rsid w:val="002C5252"/>
    <w:rsid w:val="002C533F"/>
    <w:rsid w:val="002C5793"/>
    <w:rsid w:val="002C62D9"/>
    <w:rsid w:val="002D4F09"/>
    <w:rsid w:val="002D69C4"/>
    <w:rsid w:val="002E28C0"/>
    <w:rsid w:val="002F2972"/>
    <w:rsid w:val="002F5270"/>
    <w:rsid w:val="003010A7"/>
    <w:rsid w:val="00303042"/>
    <w:rsid w:val="0030600B"/>
    <w:rsid w:val="00317899"/>
    <w:rsid w:val="00323345"/>
    <w:rsid w:val="003279A4"/>
    <w:rsid w:val="00335A3E"/>
    <w:rsid w:val="00342FCD"/>
    <w:rsid w:val="00363A97"/>
    <w:rsid w:val="0037637D"/>
    <w:rsid w:val="003A3144"/>
    <w:rsid w:val="003C1F06"/>
    <w:rsid w:val="003C56DB"/>
    <w:rsid w:val="003D4CE5"/>
    <w:rsid w:val="00401CC1"/>
    <w:rsid w:val="004023B5"/>
    <w:rsid w:val="00412E35"/>
    <w:rsid w:val="00414A98"/>
    <w:rsid w:val="00416647"/>
    <w:rsid w:val="00423574"/>
    <w:rsid w:val="00423CFA"/>
    <w:rsid w:val="004335CE"/>
    <w:rsid w:val="00434EBC"/>
    <w:rsid w:val="0043556F"/>
    <w:rsid w:val="0043603A"/>
    <w:rsid w:val="004429C0"/>
    <w:rsid w:val="00445103"/>
    <w:rsid w:val="004613B9"/>
    <w:rsid w:val="004662AD"/>
    <w:rsid w:val="0047047C"/>
    <w:rsid w:val="0048325E"/>
    <w:rsid w:val="0049133B"/>
    <w:rsid w:val="00492433"/>
    <w:rsid w:val="00492ED7"/>
    <w:rsid w:val="0049533E"/>
    <w:rsid w:val="00496E1E"/>
    <w:rsid w:val="00496F13"/>
    <w:rsid w:val="004A1AD4"/>
    <w:rsid w:val="004C214C"/>
    <w:rsid w:val="004C5F15"/>
    <w:rsid w:val="004C79BC"/>
    <w:rsid w:val="004D417F"/>
    <w:rsid w:val="004D4833"/>
    <w:rsid w:val="004D564D"/>
    <w:rsid w:val="004E230D"/>
    <w:rsid w:val="004E421F"/>
    <w:rsid w:val="004E7D6B"/>
    <w:rsid w:val="004E7DE2"/>
    <w:rsid w:val="004F1A99"/>
    <w:rsid w:val="00506C4A"/>
    <w:rsid w:val="00512927"/>
    <w:rsid w:val="00514BC6"/>
    <w:rsid w:val="005150BF"/>
    <w:rsid w:val="00517BE7"/>
    <w:rsid w:val="00520FD0"/>
    <w:rsid w:val="00523AC2"/>
    <w:rsid w:val="005267CF"/>
    <w:rsid w:val="00530FA7"/>
    <w:rsid w:val="00531C91"/>
    <w:rsid w:val="0053593F"/>
    <w:rsid w:val="00535D37"/>
    <w:rsid w:val="0053756C"/>
    <w:rsid w:val="005755EC"/>
    <w:rsid w:val="0057790D"/>
    <w:rsid w:val="00580539"/>
    <w:rsid w:val="0058160E"/>
    <w:rsid w:val="00581946"/>
    <w:rsid w:val="00582581"/>
    <w:rsid w:val="005950B2"/>
    <w:rsid w:val="00595281"/>
    <w:rsid w:val="00597636"/>
    <w:rsid w:val="005A74F5"/>
    <w:rsid w:val="005B0074"/>
    <w:rsid w:val="005C3C43"/>
    <w:rsid w:val="005D3854"/>
    <w:rsid w:val="005E5B5C"/>
    <w:rsid w:val="005F60A2"/>
    <w:rsid w:val="005F6B24"/>
    <w:rsid w:val="005F7720"/>
    <w:rsid w:val="00600A5F"/>
    <w:rsid w:val="006022A9"/>
    <w:rsid w:val="006066B0"/>
    <w:rsid w:val="00614FBF"/>
    <w:rsid w:val="0062538A"/>
    <w:rsid w:val="0062654D"/>
    <w:rsid w:val="006269E8"/>
    <w:rsid w:val="00637377"/>
    <w:rsid w:val="00640BF3"/>
    <w:rsid w:val="00641208"/>
    <w:rsid w:val="0064446A"/>
    <w:rsid w:val="006523A7"/>
    <w:rsid w:val="00656299"/>
    <w:rsid w:val="00673EA9"/>
    <w:rsid w:val="006772BB"/>
    <w:rsid w:val="006832A7"/>
    <w:rsid w:val="006860C8"/>
    <w:rsid w:val="006A055E"/>
    <w:rsid w:val="006A21AD"/>
    <w:rsid w:val="006A233D"/>
    <w:rsid w:val="006A54BB"/>
    <w:rsid w:val="006A58B7"/>
    <w:rsid w:val="006A6B35"/>
    <w:rsid w:val="006B7A54"/>
    <w:rsid w:val="006C2F82"/>
    <w:rsid w:val="006C41EA"/>
    <w:rsid w:val="006E0352"/>
    <w:rsid w:val="006E1E6F"/>
    <w:rsid w:val="006E2DB8"/>
    <w:rsid w:val="006E30E9"/>
    <w:rsid w:val="006E622F"/>
    <w:rsid w:val="006E7077"/>
    <w:rsid w:val="007008B2"/>
    <w:rsid w:val="00707DF5"/>
    <w:rsid w:val="00713339"/>
    <w:rsid w:val="00724994"/>
    <w:rsid w:val="00731057"/>
    <w:rsid w:val="0075198C"/>
    <w:rsid w:val="00754FA6"/>
    <w:rsid w:val="007625E1"/>
    <w:rsid w:val="00765C23"/>
    <w:rsid w:val="0077520B"/>
    <w:rsid w:val="007857E8"/>
    <w:rsid w:val="007862C3"/>
    <w:rsid w:val="007B0F0E"/>
    <w:rsid w:val="007B5516"/>
    <w:rsid w:val="007C33D3"/>
    <w:rsid w:val="007C3CA6"/>
    <w:rsid w:val="007D7143"/>
    <w:rsid w:val="007E0D8D"/>
    <w:rsid w:val="007E1C73"/>
    <w:rsid w:val="007E4975"/>
    <w:rsid w:val="00807DF4"/>
    <w:rsid w:val="00810920"/>
    <w:rsid w:val="0081622C"/>
    <w:rsid w:val="00817D82"/>
    <w:rsid w:val="00824519"/>
    <w:rsid w:val="00824522"/>
    <w:rsid w:val="00825080"/>
    <w:rsid w:val="008319B5"/>
    <w:rsid w:val="008432FB"/>
    <w:rsid w:val="00850E51"/>
    <w:rsid w:val="00853A05"/>
    <w:rsid w:val="008541EB"/>
    <w:rsid w:val="00865FCD"/>
    <w:rsid w:val="0087475A"/>
    <w:rsid w:val="00882754"/>
    <w:rsid w:val="00892A78"/>
    <w:rsid w:val="00895583"/>
    <w:rsid w:val="008B01E5"/>
    <w:rsid w:val="008B10D9"/>
    <w:rsid w:val="008B2DD6"/>
    <w:rsid w:val="008C58C3"/>
    <w:rsid w:val="008C5CE7"/>
    <w:rsid w:val="008D19EC"/>
    <w:rsid w:val="008D33D0"/>
    <w:rsid w:val="008D3E63"/>
    <w:rsid w:val="008D48FC"/>
    <w:rsid w:val="008D58EC"/>
    <w:rsid w:val="008D7C90"/>
    <w:rsid w:val="008E173D"/>
    <w:rsid w:val="008F03DA"/>
    <w:rsid w:val="008F687E"/>
    <w:rsid w:val="008F7F4A"/>
    <w:rsid w:val="009020E6"/>
    <w:rsid w:val="009027BB"/>
    <w:rsid w:val="00907F40"/>
    <w:rsid w:val="00913EE4"/>
    <w:rsid w:val="00914560"/>
    <w:rsid w:val="0091463C"/>
    <w:rsid w:val="00914C61"/>
    <w:rsid w:val="00917C14"/>
    <w:rsid w:val="00917F88"/>
    <w:rsid w:val="00921F95"/>
    <w:rsid w:val="0092405D"/>
    <w:rsid w:val="00925BCA"/>
    <w:rsid w:val="009279D8"/>
    <w:rsid w:val="009315AA"/>
    <w:rsid w:val="00933A63"/>
    <w:rsid w:val="0093443D"/>
    <w:rsid w:val="009346B3"/>
    <w:rsid w:val="0093531A"/>
    <w:rsid w:val="0095581B"/>
    <w:rsid w:val="00955C3C"/>
    <w:rsid w:val="00970A59"/>
    <w:rsid w:val="009713BD"/>
    <w:rsid w:val="0097611C"/>
    <w:rsid w:val="00982E31"/>
    <w:rsid w:val="00990957"/>
    <w:rsid w:val="009C72ED"/>
    <w:rsid w:val="009E2793"/>
    <w:rsid w:val="009F2C68"/>
    <w:rsid w:val="009F64E9"/>
    <w:rsid w:val="00A0125A"/>
    <w:rsid w:val="00A01797"/>
    <w:rsid w:val="00A01B44"/>
    <w:rsid w:val="00A0719B"/>
    <w:rsid w:val="00A14F19"/>
    <w:rsid w:val="00A21CDC"/>
    <w:rsid w:val="00A365E6"/>
    <w:rsid w:val="00A36806"/>
    <w:rsid w:val="00A3762A"/>
    <w:rsid w:val="00A41B5D"/>
    <w:rsid w:val="00A44263"/>
    <w:rsid w:val="00A46543"/>
    <w:rsid w:val="00A5092E"/>
    <w:rsid w:val="00A53D74"/>
    <w:rsid w:val="00A556E9"/>
    <w:rsid w:val="00A56D09"/>
    <w:rsid w:val="00A70719"/>
    <w:rsid w:val="00A75EAE"/>
    <w:rsid w:val="00A8371E"/>
    <w:rsid w:val="00A84F68"/>
    <w:rsid w:val="00A94A85"/>
    <w:rsid w:val="00A9657E"/>
    <w:rsid w:val="00AA0176"/>
    <w:rsid w:val="00AA1894"/>
    <w:rsid w:val="00AA4CBA"/>
    <w:rsid w:val="00AA4EA2"/>
    <w:rsid w:val="00AA6C9B"/>
    <w:rsid w:val="00AB011C"/>
    <w:rsid w:val="00AB7ECE"/>
    <w:rsid w:val="00AD486C"/>
    <w:rsid w:val="00AE2D29"/>
    <w:rsid w:val="00AF064E"/>
    <w:rsid w:val="00AF4AC3"/>
    <w:rsid w:val="00B01140"/>
    <w:rsid w:val="00B02DEB"/>
    <w:rsid w:val="00B06AA5"/>
    <w:rsid w:val="00B108B1"/>
    <w:rsid w:val="00B25901"/>
    <w:rsid w:val="00B2689D"/>
    <w:rsid w:val="00B409D3"/>
    <w:rsid w:val="00B53AC3"/>
    <w:rsid w:val="00B55635"/>
    <w:rsid w:val="00B56C2E"/>
    <w:rsid w:val="00B5719B"/>
    <w:rsid w:val="00B706DC"/>
    <w:rsid w:val="00B74B5C"/>
    <w:rsid w:val="00B75C61"/>
    <w:rsid w:val="00B77CBD"/>
    <w:rsid w:val="00B87FC5"/>
    <w:rsid w:val="00B90180"/>
    <w:rsid w:val="00B90A80"/>
    <w:rsid w:val="00B954C9"/>
    <w:rsid w:val="00BA6989"/>
    <w:rsid w:val="00BB0610"/>
    <w:rsid w:val="00BB4C23"/>
    <w:rsid w:val="00BD01D5"/>
    <w:rsid w:val="00BD16D2"/>
    <w:rsid w:val="00BD314F"/>
    <w:rsid w:val="00BF0DF2"/>
    <w:rsid w:val="00BF208B"/>
    <w:rsid w:val="00C12EBC"/>
    <w:rsid w:val="00C13196"/>
    <w:rsid w:val="00C246C0"/>
    <w:rsid w:val="00C33F59"/>
    <w:rsid w:val="00C41419"/>
    <w:rsid w:val="00C43C5A"/>
    <w:rsid w:val="00C61F15"/>
    <w:rsid w:val="00C6741B"/>
    <w:rsid w:val="00C910A2"/>
    <w:rsid w:val="00C916A6"/>
    <w:rsid w:val="00C96738"/>
    <w:rsid w:val="00C97D77"/>
    <w:rsid w:val="00CA1EF4"/>
    <w:rsid w:val="00CA3C65"/>
    <w:rsid w:val="00CA488B"/>
    <w:rsid w:val="00CA52B4"/>
    <w:rsid w:val="00CA57D5"/>
    <w:rsid w:val="00CB1F28"/>
    <w:rsid w:val="00CC0018"/>
    <w:rsid w:val="00CC2C5A"/>
    <w:rsid w:val="00CD2CDC"/>
    <w:rsid w:val="00CD39C1"/>
    <w:rsid w:val="00CD7234"/>
    <w:rsid w:val="00CE0DB3"/>
    <w:rsid w:val="00CF0B8C"/>
    <w:rsid w:val="00CF7D5B"/>
    <w:rsid w:val="00D07FF8"/>
    <w:rsid w:val="00D11D0B"/>
    <w:rsid w:val="00D13406"/>
    <w:rsid w:val="00D171BC"/>
    <w:rsid w:val="00D36B7D"/>
    <w:rsid w:val="00D63BB2"/>
    <w:rsid w:val="00D66AA9"/>
    <w:rsid w:val="00D70E77"/>
    <w:rsid w:val="00D71887"/>
    <w:rsid w:val="00D82B64"/>
    <w:rsid w:val="00D8316D"/>
    <w:rsid w:val="00D85F3A"/>
    <w:rsid w:val="00D96565"/>
    <w:rsid w:val="00DA29A5"/>
    <w:rsid w:val="00DA66CF"/>
    <w:rsid w:val="00DA6ABD"/>
    <w:rsid w:val="00DA77E3"/>
    <w:rsid w:val="00DB4711"/>
    <w:rsid w:val="00DB501D"/>
    <w:rsid w:val="00DD6A57"/>
    <w:rsid w:val="00DE120E"/>
    <w:rsid w:val="00DE20C7"/>
    <w:rsid w:val="00DE6FCE"/>
    <w:rsid w:val="00DF4117"/>
    <w:rsid w:val="00DF6535"/>
    <w:rsid w:val="00DF74F2"/>
    <w:rsid w:val="00E00C3D"/>
    <w:rsid w:val="00E0304E"/>
    <w:rsid w:val="00E0695B"/>
    <w:rsid w:val="00E10B2A"/>
    <w:rsid w:val="00E17982"/>
    <w:rsid w:val="00E22279"/>
    <w:rsid w:val="00E36881"/>
    <w:rsid w:val="00E3797C"/>
    <w:rsid w:val="00E439F4"/>
    <w:rsid w:val="00E5706D"/>
    <w:rsid w:val="00E73649"/>
    <w:rsid w:val="00E73D62"/>
    <w:rsid w:val="00E83339"/>
    <w:rsid w:val="00E950C4"/>
    <w:rsid w:val="00EA63AB"/>
    <w:rsid w:val="00EB1221"/>
    <w:rsid w:val="00EB4996"/>
    <w:rsid w:val="00EC4EB6"/>
    <w:rsid w:val="00ED313B"/>
    <w:rsid w:val="00ED7247"/>
    <w:rsid w:val="00EE18EC"/>
    <w:rsid w:val="00EE677C"/>
    <w:rsid w:val="00EE7AC1"/>
    <w:rsid w:val="00EF281C"/>
    <w:rsid w:val="00EF2D4D"/>
    <w:rsid w:val="00EF362E"/>
    <w:rsid w:val="00EF740F"/>
    <w:rsid w:val="00F002E3"/>
    <w:rsid w:val="00F01736"/>
    <w:rsid w:val="00F02DE8"/>
    <w:rsid w:val="00F07BDB"/>
    <w:rsid w:val="00F10D3B"/>
    <w:rsid w:val="00F111D5"/>
    <w:rsid w:val="00F11C43"/>
    <w:rsid w:val="00F11EC1"/>
    <w:rsid w:val="00F16E70"/>
    <w:rsid w:val="00F20374"/>
    <w:rsid w:val="00F20E62"/>
    <w:rsid w:val="00F23CE3"/>
    <w:rsid w:val="00F27989"/>
    <w:rsid w:val="00F3056F"/>
    <w:rsid w:val="00F337CF"/>
    <w:rsid w:val="00F33EFE"/>
    <w:rsid w:val="00F5167E"/>
    <w:rsid w:val="00F53220"/>
    <w:rsid w:val="00F6191F"/>
    <w:rsid w:val="00F643AF"/>
    <w:rsid w:val="00F75F4E"/>
    <w:rsid w:val="00FA2481"/>
    <w:rsid w:val="00FA6C86"/>
    <w:rsid w:val="00FA7C94"/>
    <w:rsid w:val="00FB03C1"/>
    <w:rsid w:val="00FB20B7"/>
    <w:rsid w:val="00FB362B"/>
    <w:rsid w:val="00FB765C"/>
    <w:rsid w:val="00FC61C2"/>
    <w:rsid w:val="00FD1343"/>
    <w:rsid w:val="00FD2E3D"/>
    <w:rsid w:val="00FD71F0"/>
    <w:rsid w:val="00FE06A5"/>
    <w:rsid w:val="00FE1084"/>
    <w:rsid w:val="00FE2FE4"/>
    <w:rsid w:val="00FF7508"/>
    <w:rsid w:val="2B32016F"/>
    <w:rsid w:val="37E34CAB"/>
    <w:rsid w:val="380B5EEE"/>
    <w:rsid w:val="6B5F220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810D4AFF-11CF-AA40-A3D6-05858DC19F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lsdException w:name="annotation reference" w:semiHidden="1" w:unhideWhenUsed="1" w:qFormat="1"/>
    <w:lsdException w:name="line number" w:semiHidden="1" w:unhideWhenUsed="1" w:qFormat="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qFormat="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qFormat="1"/>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qFormat="1"/>
    <w:lsdException w:name="Light Grid Accent 1" w:uiPriority="62"/>
    <w:lsdException w:name="Medium Shading 1 Accent 1" w:uiPriority="63"/>
    <w:lsdException w:name="Medium Shading 2 Accent 1" w:uiPriority="64" w:qFormat="1"/>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qFormat="1"/>
    <w:lsdException w:name="Light Grid Accent 5" w:uiPriority="62"/>
    <w:lsdException w:name="Medium Shading 1 Accent 5" w:uiPriority="63"/>
    <w:lsdException w:name="Medium Shading 2 Accent 5" w:uiPriority="64" w:qFormat="1"/>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Theme="minorHAnsi" w:hAnsiTheme="minorHAnsi" w:cstheme="minorBidi"/>
      <w:sz w:val="24"/>
      <w:szCs w:val="24"/>
      <w:lang w:val="en-GB" w:eastAsia="en-US"/>
    </w:rPr>
  </w:style>
  <w:style w:type="paragraph" w:styleId="Heading1">
    <w:name w:val="heading 1"/>
    <w:basedOn w:val="Normal"/>
    <w:next w:val="Normal"/>
    <w:link w:val="Heading1Char"/>
    <w:uiPriority w:val="9"/>
    <w:qFormat/>
    <w:pPr>
      <w:spacing w:before="100" w:beforeAutospacing="1" w:after="100" w:afterAutospacing="1"/>
      <w:outlineLvl w:val="0"/>
    </w:pPr>
    <w:rPr>
      <w:rFonts w:ascii="Times" w:hAnsi="Times"/>
      <w:b/>
      <w:bCs/>
      <w:kern w:val="36"/>
      <w:sz w:val="48"/>
      <w:szCs w:val="48"/>
      <w:lang w:val="en-US"/>
    </w:rPr>
  </w:style>
  <w:style w:type="paragraph" w:styleId="Heading2">
    <w:name w:val="heading 2"/>
    <w:basedOn w:val="Normal"/>
    <w:next w:val="Normal"/>
    <w:link w:val="Heading2Char"/>
    <w:uiPriority w:val="9"/>
    <w:qFormat/>
    <w:pPr>
      <w:spacing w:before="100" w:beforeAutospacing="1" w:after="100" w:afterAutospacing="1"/>
      <w:outlineLvl w:val="1"/>
    </w:pPr>
    <w:rPr>
      <w:rFonts w:ascii="Times" w:hAnsi="Times"/>
      <w:b/>
      <w:bCs/>
      <w:sz w:val="36"/>
      <w:szCs w:val="36"/>
      <w:lang w:val="en-US"/>
    </w:rPr>
  </w:style>
  <w:style w:type="paragraph" w:styleId="Heading3">
    <w:name w:val="heading 3"/>
    <w:basedOn w:val="Normal"/>
    <w:next w:val="Normal"/>
    <w:link w:val="Heading3Char"/>
    <w:uiPriority w:val="9"/>
    <w:qFormat/>
    <w:pPr>
      <w:spacing w:before="100" w:beforeAutospacing="1" w:after="100" w:afterAutospacing="1"/>
      <w:outlineLvl w:val="2"/>
    </w:pPr>
    <w:rPr>
      <w:rFonts w:ascii="Times" w:hAnsi="Times"/>
      <w:b/>
      <w:bCs/>
      <w:sz w:val="27"/>
      <w:szCs w:val="27"/>
      <w:lang w:val="en-US"/>
    </w:rPr>
  </w:style>
  <w:style w:type="paragraph" w:styleId="Heading4">
    <w:name w:val="heading 4"/>
    <w:basedOn w:val="Normal"/>
    <w:next w:val="Normal"/>
    <w:link w:val="Heading4Char"/>
    <w:uiPriority w:val="9"/>
    <w:qFormat/>
    <w:pPr>
      <w:spacing w:before="100" w:beforeAutospacing="1" w:after="100" w:afterAutospacing="1"/>
      <w:outlineLvl w:val="3"/>
    </w:pPr>
    <w:rPr>
      <w:rFonts w:ascii="Times" w:hAnsi="Times"/>
      <w:b/>
      <w:b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Pr>
      <w:rFonts w:ascii="Lucida Grande" w:hAnsi="Lucida Grande" w:cs="Lucida Grande"/>
      <w:sz w:val="18"/>
      <w:szCs w:val="18"/>
    </w:rPr>
  </w:style>
  <w:style w:type="paragraph" w:styleId="CommentText">
    <w:name w:val="annotation text"/>
    <w:basedOn w:val="Normal"/>
    <w:link w:val="CommentTextChar"/>
    <w:uiPriority w:val="99"/>
    <w:unhideWhenUsed/>
    <w:qFormat/>
  </w:style>
  <w:style w:type="paragraph" w:styleId="CommentSubject">
    <w:name w:val="annotation subject"/>
    <w:basedOn w:val="CommentText"/>
    <w:next w:val="CommentText"/>
    <w:link w:val="CommentSubjectChar"/>
    <w:uiPriority w:val="99"/>
    <w:semiHidden/>
    <w:unhideWhenUsed/>
    <w:qFormat/>
    <w:rPr>
      <w:b/>
      <w:bCs/>
    </w:rPr>
  </w:style>
  <w:style w:type="paragraph" w:styleId="Footer">
    <w:name w:val="footer"/>
    <w:basedOn w:val="Normal"/>
    <w:link w:val="FooterChar"/>
    <w:uiPriority w:val="99"/>
    <w:unhideWhenUsed/>
    <w:qFormat/>
    <w:pPr>
      <w:tabs>
        <w:tab w:val="center" w:pos="4320"/>
        <w:tab w:val="right" w:pos="8640"/>
      </w:tabs>
    </w:pPr>
  </w:style>
  <w:style w:type="paragraph" w:styleId="FootnoteText">
    <w:name w:val="footnote text"/>
    <w:basedOn w:val="Normal"/>
    <w:link w:val="FootnoteTextChar"/>
    <w:uiPriority w:val="99"/>
    <w:unhideWhenUsed/>
  </w:style>
  <w:style w:type="paragraph" w:styleId="Header">
    <w:name w:val="header"/>
    <w:basedOn w:val="Normal"/>
    <w:link w:val="HeaderChar"/>
    <w:uiPriority w:val="99"/>
    <w:unhideWhenUsed/>
    <w:qFormat/>
    <w:pPr>
      <w:pBdr>
        <w:bottom w:val="single" w:sz="6" w:space="1" w:color="auto"/>
      </w:pBdr>
      <w:tabs>
        <w:tab w:val="center" w:pos="4153"/>
        <w:tab w:val="right" w:pos="8306"/>
      </w:tabs>
      <w:snapToGrid w:val="0"/>
      <w:jc w:val="center"/>
    </w:pPr>
    <w:rPr>
      <w:sz w:val="18"/>
      <w:szCs w:val="18"/>
    </w:rPr>
  </w:style>
  <w:style w:type="paragraph" w:styleId="NormalWeb">
    <w:name w:val="Normal (Web)"/>
    <w:basedOn w:val="Normal"/>
    <w:uiPriority w:val="99"/>
    <w:unhideWhenUsed/>
    <w:pPr>
      <w:spacing w:before="100" w:beforeAutospacing="1" w:after="100" w:afterAutospacing="1"/>
    </w:pPr>
    <w:rPr>
      <w:rFonts w:ascii="Times" w:hAnsi="Times" w:cs="Times New Roman"/>
      <w:sz w:val="20"/>
      <w:szCs w:val="20"/>
      <w:lang w:val="en-US"/>
    </w:rPr>
  </w:style>
  <w:style w:type="character" w:styleId="CommentReference">
    <w:name w:val="annotation reference"/>
    <w:basedOn w:val="DefaultParagraphFont"/>
    <w:uiPriority w:val="99"/>
    <w:semiHidden/>
    <w:unhideWhenUsed/>
    <w:qFormat/>
    <w:rPr>
      <w:sz w:val="21"/>
      <w:szCs w:val="21"/>
    </w:rPr>
  </w:style>
  <w:style w:type="character" w:styleId="Emphasis">
    <w:name w:val="Emphasis"/>
    <w:uiPriority w:val="20"/>
    <w:qFormat/>
    <w:rPr>
      <w:i/>
      <w:iCs/>
    </w:rPr>
  </w:style>
  <w:style w:type="character" w:styleId="FollowedHyperlink">
    <w:name w:val="FollowedHyperlink"/>
    <w:basedOn w:val="DefaultParagraphFont"/>
    <w:uiPriority w:val="99"/>
    <w:semiHidden/>
    <w:unhideWhenUsed/>
    <w:qFormat/>
    <w:rPr>
      <w:color w:val="954F72" w:themeColor="followedHyperlink"/>
      <w:u w:val="single"/>
    </w:rPr>
  </w:style>
  <w:style w:type="character" w:styleId="FootnoteReference">
    <w:name w:val="footnote reference"/>
    <w:basedOn w:val="DefaultParagraphFont"/>
    <w:uiPriority w:val="99"/>
    <w:unhideWhenUsed/>
    <w:rPr>
      <w:vertAlign w:val="superscript"/>
    </w:rPr>
  </w:style>
  <w:style w:type="character" w:styleId="HTMLCite">
    <w:name w:val="HTML Cite"/>
    <w:basedOn w:val="DefaultParagraphFont"/>
    <w:uiPriority w:val="99"/>
    <w:semiHidden/>
    <w:unhideWhenUsed/>
    <w:qFormat/>
    <w:rPr>
      <w:i/>
      <w:iCs/>
    </w:rPr>
  </w:style>
  <w:style w:type="character" w:styleId="Hyperlink">
    <w:name w:val="Hyperlink"/>
    <w:basedOn w:val="DefaultParagraphFont"/>
    <w:uiPriority w:val="99"/>
    <w:unhideWhenUsed/>
    <w:qFormat/>
    <w:rPr>
      <w:color w:val="0000FF"/>
      <w:u w:val="single"/>
    </w:rPr>
  </w:style>
  <w:style w:type="character" w:styleId="LineNumber">
    <w:name w:val="line number"/>
    <w:basedOn w:val="DefaultParagraphFont"/>
    <w:uiPriority w:val="99"/>
    <w:semiHidden/>
    <w:unhideWhenUsed/>
    <w:qFormat/>
  </w:style>
  <w:style w:type="character" w:styleId="PageNumber">
    <w:name w:val="page number"/>
    <w:basedOn w:val="DefaultParagraphFont"/>
    <w:uiPriority w:val="99"/>
    <w:semiHidden/>
    <w:unhideWhenUsed/>
    <w:qFormat/>
  </w:style>
  <w:style w:type="character" w:styleId="Strong">
    <w:name w:val="Strong"/>
    <w:basedOn w:val="DefaultParagraphFont"/>
    <w:uiPriority w:val="22"/>
    <w:qFormat/>
    <w:rPr>
      <w:b/>
      <w:bCs/>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qFormat/>
    <w:rPr>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1">
    <w:name w:val="Light List Accent 1"/>
    <w:basedOn w:val="TableNormal"/>
    <w:uiPriority w:val="61"/>
    <w:qFormat/>
    <w:tblPr>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ghtList-Accent5">
    <w:name w:val="Light List Accent 5"/>
    <w:basedOn w:val="TableNormal"/>
    <w:uiPriority w:val="61"/>
    <w:qFormat/>
    <w:tblPr>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MediumShading2-Accent1">
    <w:name w:val="Medium Shading 2 Accent 1"/>
    <w:basedOn w:val="TableNormal"/>
    <w:uiPriority w:val="64"/>
    <w:qFormat/>
    <w:tblPr>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qFormat/>
    <w:tblPr>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p1">
    <w:name w:val="p1"/>
    <w:basedOn w:val="Normal"/>
    <w:rPr>
      <w:rFonts w:ascii="Times" w:hAnsi="Times" w:cs="Times New Roman"/>
      <w:sz w:val="14"/>
      <w:szCs w:val="14"/>
      <w:lang w:eastAsia="en-GB"/>
    </w:rPr>
  </w:style>
  <w:style w:type="paragraph" w:styleId="ListParagraph">
    <w:name w:val="List Paragraph"/>
    <w:basedOn w:val="Normal"/>
    <w:qFormat/>
    <w:pPr>
      <w:ind w:left="720"/>
      <w:contextualSpacing/>
    </w:pPr>
  </w:style>
  <w:style w:type="character" w:customStyle="1" w:styleId="Heading2Char">
    <w:name w:val="Heading 2 Char"/>
    <w:basedOn w:val="DefaultParagraphFont"/>
    <w:link w:val="Heading2"/>
    <w:uiPriority w:val="9"/>
    <w:qFormat/>
    <w:rPr>
      <w:rFonts w:ascii="Times" w:hAnsi="Times"/>
      <w:b/>
      <w:bCs/>
      <w:sz w:val="36"/>
      <w:szCs w:val="36"/>
      <w:lang w:val="en-US"/>
    </w:rPr>
  </w:style>
  <w:style w:type="character" w:customStyle="1" w:styleId="BalloonTextChar">
    <w:name w:val="Balloon Text Char"/>
    <w:basedOn w:val="DefaultParagraphFont"/>
    <w:link w:val="BalloonText"/>
    <w:uiPriority w:val="99"/>
    <w:semiHidden/>
    <w:qFormat/>
    <w:rPr>
      <w:rFonts w:ascii="Lucida Grande" w:hAnsi="Lucida Grande" w:cs="Lucida Grande"/>
      <w:sz w:val="18"/>
      <w:szCs w:val="18"/>
    </w:rPr>
  </w:style>
  <w:style w:type="character" w:customStyle="1" w:styleId="apple-converted-space">
    <w:name w:val="apple-converted-space"/>
    <w:basedOn w:val="DefaultParagraphFont"/>
    <w:qFormat/>
  </w:style>
  <w:style w:type="paragraph" w:customStyle="1" w:styleId="TableContents">
    <w:name w:val="Table Contents"/>
    <w:basedOn w:val="Normal"/>
    <w:qFormat/>
    <w:pPr>
      <w:suppressLineNumbers/>
    </w:pPr>
    <w:rPr>
      <w:rFonts w:ascii="Liberation Serif" w:eastAsia="Noto Sans CJK SC Regular" w:hAnsi="Liberation Serif" w:cs="FreeSans"/>
      <w:color w:val="00000A"/>
      <w:lang w:val="en-US" w:eastAsia="zh-CN" w:bidi="hi-IN"/>
    </w:rPr>
  </w:style>
  <w:style w:type="character" w:customStyle="1" w:styleId="inzet">
    <w:name w:val="inzet"/>
    <w:basedOn w:val="DefaultParagraphFont"/>
    <w:qFormat/>
  </w:style>
  <w:style w:type="character" w:customStyle="1" w:styleId="pbtocpages">
    <w:name w:val="pb_toc_pages"/>
    <w:basedOn w:val="DefaultParagraphFont"/>
    <w:qFormat/>
  </w:style>
  <w:style w:type="character" w:customStyle="1" w:styleId="FooterChar">
    <w:name w:val="Footer Char"/>
    <w:basedOn w:val="DefaultParagraphFont"/>
    <w:link w:val="Footer"/>
    <w:uiPriority w:val="99"/>
    <w:qFormat/>
  </w:style>
  <w:style w:type="character" w:customStyle="1" w:styleId="st">
    <w:name w:val="st"/>
    <w:basedOn w:val="DefaultParagraphFont"/>
    <w:qFormat/>
  </w:style>
  <w:style w:type="character" w:customStyle="1" w:styleId="pbtoclink">
    <w:name w:val="pb_toc_link"/>
    <w:basedOn w:val="DefaultParagraphFont"/>
    <w:qFormat/>
  </w:style>
  <w:style w:type="character" w:customStyle="1" w:styleId="HeaderChar">
    <w:name w:val="Header Char"/>
    <w:basedOn w:val="DefaultParagraphFont"/>
    <w:link w:val="Header"/>
    <w:uiPriority w:val="99"/>
    <w:qFormat/>
    <w:rPr>
      <w:sz w:val="18"/>
      <w:szCs w:val="18"/>
    </w:rPr>
  </w:style>
  <w:style w:type="character" w:customStyle="1" w:styleId="CommentTextChar">
    <w:name w:val="Comment Text Char"/>
    <w:basedOn w:val="DefaultParagraphFont"/>
    <w:link w:val="CommentText"/>
    <w:uiPriority w:val="99"/>
    <w:qFormat/>
  </w:style>
  <w:style w:type="character" w:customStyle="1" w:styleId="CommentSubjectChar">
    <w:name w:val="Comment Subject Char"/>
    <w:basedOn w:val="CommentTextChar"/>
    <w:link w:val="CommentSubject"/>
    <w:uiPriority w:val="99"/>
    <w:semiHidden/>
    <w:qFormat/>
    <w:rPr>
      <w:b/>
      <w:bCs/>
    </w:rPr>
  </w:style>
  <w:style w:type="paragraph" w:customStyle="1" w:styleId="1">
    <w:name w:val="修订1"/>
    <w:hidden/>
    <w:uiPriority w:val="99"/>
    <w:semiHidden/>
    <w:rPr>
      <w:rFonts w:asciiTheme="minorHAnsi" w:hAnsiTheme="minorHAnsi" w:cstheme="minorBidi"/>
      <w:sz w:val="24"/>
      <w:szCs w:val="24"/>
      <w:lang w:val="en-GB" w:eastAsia="en-US"/>
    </w:rPr>
  </w:style>
  <w:style w:type="character" w:customStyle="1" w:styleId="FootnoteTextChar">
    <w:name w:val="Footnote Text Char"/>
    <w:basedOn w:val="DefaultParagraphFont"/>
    <w:link w:val="FootnoteText"/>
    <w:uiPriority w:val="99"/>
  </w:style>
  <w:style w:type="character" w:customStyle="1" w:styleId="author">
    <w:name w:val="author"/>
    <w:basedOn w:val="DefaultParagraphFont"/>
    <w:qFormat/>
  </w:style>
  <w:style w:type="character" w:customStyle="1" w:styleId="articletitle">
    <w:name w:val="articletitle"/>
    <w:basedOn w:val="DefaultParagraphFont"/>
  </w:style>
  <w:style w:type="character" w:customStyle="1" w:styleId="journaltitle">
    <w:name w:val="journaltitle"/>
    <w:basedOn w:val="DefaultParagraphFont"/>
    <w:qFormat/>
  </w:style>
  <w:style w:type="character" w:customStyle="1" w:styleId="vol">
    <w:name w:val="vol"/>
    <w:basedOn w:val="DefaultParagraphFont"/>
    <w:qFormat/>
  </w:style>
  <w:style w:type="character" w:customStyle="1" w:styleId="Heading1Char">
    <w:name w:val="Heading 1 Char"/>
    <w:basedOn w:val="DefaultParagraphFont"/>
    <w:link w:val="Heading1"/>
    <w:uiPriority w:val="9"/>
    <w:qFormat/>
    <w:rPr>
      <w:rFonts w:ascii="Times" w:hAnsi="Times"/>
      <w:b/>
      <w:bCs/>
      <w:kern w:val="36"/>
      <w:sz w:val="48"/>
      <w:szCs w:val="48"/>
      <w:lang w:val="en-US"/>
    </w:rPr>
  </w:style>
  <w:style w:type="character" w:customStyle="1" w:styleId="js-separator">
    <w:name w:val="js-separator"/>
    <w:basedOn w:val="DefaultParagraphFont"/>
    <w:qFormat/>
  </w:style>
  <w:style w:type="character" w:customStyle="1" w:styleId="visually-hidden">
    <w:name w:val="visually-hidden"/>
    <w:basedOn w:val="DefaultParagraphFont"/>
  </w:style>
  <w:style w:type="character" w:customStyle="1" w:styleId="gmail-pbtoclink">
    <w:name w:val="gmail-pb_toc_link"/>
    <w:basedOn w:val="DefaultParagraphFont"/>
    <w:qFormat/>
  </w:style>
  <w:style w:type="character" w:customStyle="1" w:styleId="Heading3Char">
    <w:name w:val="Heading 3 Char"/>
    <w:basedOn w:val="DefaultParagraphFont"/>
    <w:link w:val="Heading3"/>
    <w:uiPriority w:val="9"/>
    <w:qFormat/>
    <w:rPr>
      <w:rFonts w:ascii="Times" w:hAnsi="Times"/>
      <w:b/>
      <w:bCs/>
      <w:sz w:val="27"/>
      <w:szCs w:val="27"/>
      <w:lang w:val="en-US"/>
    </w:rPr>
  </w:style>
  <w:style w:type="character" w:customStyle="1" w:styleId="Heading4Char">
    <w:name w:val="Heading 4 Char"/>
    <w:basedOn w:val="DefaultParagraphFont"/>
    <w:link w:val="Heading4"/>
    <w:uiPriority w:val="9"/>
    <w:rPr>
      <w:rFonts w:ascii="Times" w:hAnsi="Times"/>
      <w:b/>
      <w:bCs/>
      <w:lang w:val="en-US"/>
    </w:rPr>
  </w:style>
  <w:style w:type="character" w:customStyle="1" w:styleId="nlmstring-name">
    <w:name w:val="nlm_string-name"/>
    <w:basedOn w:val="DefaultParagraphFont"/>
    <w:qFormat/>
  </w:style>
  <w:style w:type="character" w:customStyle="1" w:styleId="UnresolvedMention1">
    <w:name w:val="Unresolved Mention1"/>
    <w:basedOn w:val="DefaultParagraphFont"/>
    <w:uiPriority w:val="99"/>
    <w:semiHidden/>
    <w:unhideWhenUsed/>
    <w:qFormat/>
    <w:rPr>
      <w:color w:val="605E5C"/>
      <w:shd w:val="clear" w:color="auto" w:fill="E1DFDD"/>
    </w:rPr>
  </w:style>
  <w:style w:type="character" w:customStyle="1" w:styleId="enhanced-author">
    <w:name w:val="enhanced-author"/>
    <w:basedOn w:val="DefaultParagraphFont"/>
  </w:style>
  <w:style w:type="character" w:customStyle="1" w:styleId="a">
    <w:name w:val="_"/>
    <w:basedOn w:val="DefaultParagraphFont"/>
    <w:qFormat/>
  </w:style>
  <w:style w:type="character" w:customStyle="1" w:styleId="current-selection">
    <w:name w:val="current-selection"/>
    <w:basedOn w:val="DefaultParagraphFont"/>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2274925">
      <w:bodyDiv w:val="1"/>
      <w:marLeft w:val="0"/>
      <w:marRight w:val="0"/>
      <w:marTop w:val="0"/>
      <w:marBottom w:val="0"/>
      <w:divBdr>
        <w:top w:val="none" w:sz="0" w:space="0" w:color="auto"/>
        <w:left w:val="none" w:sz="0" w:space="0" w:color="auto"/>
        <w:bottom w:val="none" w:sz="0" w:space="0" w:color="auto"/>
        <w:right w:val="none" w:sz="0" w:space="0" w:color="auto"/>
      </w:divBdr>
      <w:divsChild>
        <w:div w:id="1269586164">
          <w:marLeft w:val="0"/>
          <w:marRight w:val="0"/>
          <w:marTop w:val="0"/>
          <w:marBottom w:val="0"/>
          <w:divBdr>
            <w:top w:val="none" w:sz="0" w:space="0" w:color="auto"/>
            <w:left w:val="none" w:sz="0" w:space="0" w:color="auto"/>
            <w:bottom w:val="none" w:sz="0" w:space="0" w:color="auto"/>
            <w:right w:val="none" w:sz="0" w:space="0" w:color="auto"/>
          </w:divBdr>
        </w:div>
      </w:divsChild>
    </w:div>
    <w:div w:id="1508447089">
      <w:bodyDiv w:val="1"/>
      <w:marLeft w:val="0"/>
      <w:marRight w:val="0"/>
      <w:marTop w:val="0"/>
      <w:marBottom w:val="0"/>
      <w:divBdr>
        <w:top w:val="none" w:sz="0" w:space="0" w:color="auto"/>
        <w:left w:val="none" w:sz="0" w:space="0" w:color="auto"/>
        <w:bottom w:val="none" w:sz="0" w:space="0" w:color="auto"/>
        <w:right w:val="none" w:sz="0" w:space="0" w:color="auto"/>
      </w:divBdr>
      <w:divsChild>
        <w:div w:id="460418158">
          <w:marLeft w:val="0"/>
          <w:marRight w:val="0"/>
          <w:marTop w:val="0"/>
          <w:marBottom w:val="0"/>
          <w:divBdr>
            <w:top w:val="none" w:sz="0" w:space="0" w:color="auto"/>
            <w:left w:val="none" w:sz="0" w:space="0" w:color="auto"/>
            <w:bottom w:val="none" w:sz="0" w:space="0" w:color="auto"/>
            <w:right w:val="none" w:sz="0" w:space="0" w:color="auto"/>
          </w:divBdr>
        </w:div>
        <w:div w:id="1395154330">
          <w:marLeft w:val="0"/>
          <w:marRight w:val="0"/>
          <w:marTop w:val="0"/>
          <w:marBottom w:val="0"/>
          <w:divBdr>
            <w:top w:val="none" w:sz="0" w:space="0" w:color="auto"/>
            <w:left w:val="none" w:sz="0" w:space="0" w:color="auto"/>
            <w:bottom w:val="none" w:sz="0" w:space="0" w:color="auto"/>
            <w:right w:val="none" w:sz="0" w:space="0" w:color="auto"/>
          </w:divBdr>
        </w:div>
        <w:div w:id="1978218517">
          <w:marLeft w:val="0"/>
          <w:marRight w:val="0"/>
          <w:marTop w:val="0"/>
          <w:marBottom w:val="0"/>
          <w:divBdr>
            <w:top w:val="none" w:sz="0" w:space="0" w:color="auto"/>
            <w:left w:val="none" w:sz="0" w:space="0" w:color="auto"/>
            <w:bottom w:val="none" w:sz="0" w:space="0" w:color="auto"/>
            <w:right w:val="none" w:sz="0" w:space="0" w:color="auto"/>
          </w:divBdr>
        </w:div>
        <w:div w:id="219361743">
          <w:marLeft w:val="0"/>
          <w:marRight w:val="0"/>
          <w:marTop w:val="0"/>
          <w:marBottom w:val="0"/>
          <w:divBdr>
            <w:top w:val="none" w:sz="0" w:space="0" w:color="auto"/>
            <w:left w:val="none" w:sz="0" w:space="0" w:color="auto"/>
            <w:bottom w:val="none" w:sz="0" w:space="0" w:color="auto"/>
            <w:right w:val="none" w:sz="0" w:space="0" w:color="auto"/>
          </w:divBdr>
        </w:div>
        <w:div w:id="1560357211">
          <w:marLeft w:val="0"/>
          <w:marRight w:val="0"/>
          <w:marTop w:val="0"/>
          <w:marBottom w:val="0"/>
          <w:divBdr>
            <w:top w:val="none" w:sz="0" w:space="0" w:color="auto"/>
            <w:left w:val="none" w:sz="0" w:space="0" w:color="auto"/>
            <w:bottom w:val="none" w:sz="0" w:space="0" w:color="auto"/>
            <w:right w:val="none" w:sz="0" w:space="0" w:color="auto"/>
          </w:divBdr>
        </w:div>
        <w:div w:id="354380600">
          <w:marLeft w:val="0"/>
          <w:marRight w:val="0"/>
          <w:marTop w:val="0"/>
          <w:marBottom w:val="0"/>
          <w:divBdr>
            <w:top w:val="none" w:sz="0" w:space="0" w:color="auto"/>
            <w:left w:val="none" w:sz="0" w:space="0" w:color="auto"/>
            <w:bottom w:val="none" w:sz="0" w:space="0" w:color="auto"/>
            <w:right w:val="none" w:sz="0" w:space="0" w:color="auto"/>
          </w:divBdr>
        </w:div>
        <w:div w:id="203819524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hyperlink" Target="http://jpldataeval.jpl.nasa.gov" TargetMode="External"/><Relationship Id="rId21" Type="http://schemas.openxmlformats.org/officeDocument/2006/relationships/hyperlink" Target="http://www.lmd.polytechnique.fr/chimere/CW-download.ph" TargetMode="External"/><Relationship Id="rId42" Type="http://schemas.openxmlformats.org/officeDocument/2006/relationships/image" Target="media/image4.png"/><Relationship Id="rId47" Type="http://schemas.openxmlformats.org/officeDocument/2006/relationships/image" Target="media/image9.emf"/><Relationship Id="rId63" Type="http://schemas.openxmlformats.org/officeDocument/2006/relationships/image" Target="media/image25.png"/><Relationship Id="rId68" Type="http://schemas.openxmlformats.org/officeDocument/2006/relationships/image" Target="media/image30.png"/><Relationship Id="rId16" Type="http://schemas.openxmlformats.org/officeDocument/2006/relationships/hyperlink" Target="http://www.eumetsat.int/website/home/Satellites/CurrentSatellites/Metop/MetopDesign/GOME2/index.html" TargetMode="External"/><Relationship Id="rId11" Type="http://schemas.openxmlformats.org/officeDocument/2006/relationships/hyperlink" Target="http://mls.jpl.nasa.gov/index-eos-mls.php" TargetMode="External"/><Relationship Id="rId32" Type="http://schemas.openxmlformats.org/officeDocument/2006/relationships/hyperlink" Target="http://carbon.nju.edu.cn/cn/" TargetMode="External"/><Relationship Id="rId37" Type="http://schemas.openxmlformats.org/officeDocument/2006/relationships/hyperlink" Target="http://116.62.195.108/%EF%BC%8C" TargetMode="External"/><Relationship Id="rId53" Type="http://schemas.openxmlformats.org/officeDocument/2006/relationships/image" Target="media/image15.emf"/><Relationship Id="rId58" Type="http://schemas.openxmlformats.org/officeDocument/2006/relationships/image" Target="media/image20.png"/><Relationship Id="rId74" Type="http://schemas.openxmlformats.org/officeDocument/2006/relationships/hyperlink" Target="http://dx.doi.org/10.5194/gmd-2017-88" TargetMode="External"/><Relationship Id="rId79" Type="http://schemas.openxmlformats.org/officeDocument/2006/relationships/hyperlink" Target="http://dx.doi.org/10.1029/2007JD008782" TargetMode="External"/><Relationship Id="rId5" Type="http://schemas.openxmlformats.org/officeDocument/2006/relationships/settings" Target="settings.xml"/><Relationship Id="rId61" Type="http://schemas.openxmlformats.org/officeDocument/2006/relationships/image" Target="media/image23.png"/><Relationship Id="rId82" Type="http://schemas.openxmlformats.org/officeDocument/2006/relationships/fontTable" Target="fontTable.xml"/><Relationship Id="rId19" Type="http://schemas.openxmlformats.org/officeDocument/2006/relationships/hyperlink" Target="http://www.lmd.polytechnique.fr/chimere" TargetMode="External"/><Relationship Id="rId14" Type="http://schemas.openxmlformats.org/officeDocument/2006/relationships/hyperlink" Target="http://www.latmos.ipsl.fr/index.php/fr/tact/themes-de-recherche/iasi/1904-iasi-co" TargetMode="External"/><Relationship Id="rId22" Type="http://schemas.openxmlformats.org/officeDocument/2006/relationships/hyperlink" Target="http://www2.mmm.ucar.edu/wrf/users/docs/user_guide_V3.6/ARWUsersGuideV3.6.1.pdf" TargetMode="External"/><Relationship Id="rId27" Type="http://schemas.openxmlformats.org/officeDocument/2006/relationships/hyperlink" Target="http://silam.fmi.fi" TargetMode="External"/><Relationship Id="rId30" Type="http://schemas.openxmlformats.org/officeDocument/2006/relationships/hyperlink" Target="http://www.meicmodel.org/" TargetMode="External"/><Relationship Id="rId35" Type="http://schemas.openxmlformats.org/officeDocument/2006/relationships/image" Target="media/image1.png"/><Relationship Id="rId43" Type="http://schemas.openxmlformats.org/officeDocument/2006/relationships/image" Target="media/image5.png"/><Relationship Id="rId48" Type="http://schemas.openxmlformats.org/officeDocument/2006/relationships/image" Target="media/image10.emf"/><Relationship Id="rId56" Type="http://schemas.openxmlformats.org/officeDocument/2006/relationships/image" Target="media/image18.emf"/><Relationship Id="rId64" Type="http://schemas.openxmlformats.org/officeDocument/2006/relationships/image" Target="media/image26.png"/><Relationship Id="rId69" Type="http://schemas.openxmlformats.org/officeDocument/2006/relationships/image" Target="media/image31.png"/><Relationship Id="rId77" Type="http://schemas.openxmlformats.org/officeDocument/2006/relationships/hyperlink" Target="https://www.atmos-chem-phys.net/17/12341/2017/acp-17-12341-2017.html" TargetMode="External"/><Relationship Id="rId8" Type="http://schemas.openxmlformats.org/officeDocument/2006/relationships/endnotes" Target="endnotes.xml"/><Relationship Id="rId51" Type="http://schemas.openxmlformats.org/officeDocument/2006/relationships/image" Target="media/image13.emf"/><Relationship Id="rId72" Type="http://schemas.openxmlformats.org/officeDocument/2006/relationships/hyperlink" Target="https://doi.org/10.1029/2011JD016366" TargetMode="External"/><Relationship Id="rId80"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hyperlink" Target="http://www.nasa.gov/mission_pages/aura/spacecraft/omi.html" TargetMode="External"/><Relationship Id="rId17" Type="http://schemas.openxmlformats.org/officeDocument/2006/relationships/hyperlink" Target="http://npp.gsfc.nasa.gov/omps.html" TargetMode="External"/><Relationship Id="rId25" Type="http://schemas.openxmlformats.org/officeDocument/2006/relationships/hyperlink" Target="http://iupac.pole-ether.fr" TargetMode="External"/><Relationship Id="rId33" Type="http://schemas.openxmlformats.org/officeDocument/2006/relationships/hyperlink" Target="https://www.epa.gov/cmaq/cmaq-models-0" TargetMode="External"/><Relationship Id="rId38" Type="http://schemas.openxmlformats.org/officeDocument/2006/relationships/image" Target="media/image2.emf"/><Relationship Id="rId46" Type="http://schemas.openxmlformats.org/officeDocument/2006/relationships/image" Target="media/image8.emf"/><Relationship Id="rId59" Type="http://schemas.openxmlformats.org/officeDocument/2006/relationships/image" Target="media/image21.png"/><Relationship Id="rId67" Type="http://schemas.openxmlformats.org/officeDocument/2006/relationships/image" Target="media/image29.png"/><Relationship Id="rId20" Type="http://schemas.openxmlformats.org/officeDocument/2006/relationships/hyperlink" Target="mailto:avander@knmi.nl" TargetMode="External"/><Relationship Id="rId41" Type="http://schemas.openxmlformats.org/officeDocument/2006/relationships/image" Target="media/image3.png"/><Relationship Id="rId54" Type="http://schemas.openxmlformats.org/officeDocument/2006/relationships/image" Target="media/image16.emf"/><Relationship Id="rId62" Type="http://schemas.openxmlformats.org/officeDocument/2006/relationships/image" Target="media/image24.png"/><Relationship Id="rId70" Type="http://schemas.openxmlformats.org/officeDocument/2006/relationships/hyperlink" Target="http://www.pm25.int" TargetMode="External"/><Relationship Id="rId75" Type="http://schemas.openxmlformats.org/officeDocument/2006/relationships/hyperlink" Target="http://www.sciencedirect.com/science/article/pii/S0048969714008572"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2.acom.ucar.edu/mopitt" TargetMode="External"/><Relationship Id="rId23" Type="http://schemas.openxmlformats.org/officeDocument/2006/relationships/hyperlink" Target="https://ruc.noaa.gov/wrf/wrf-chem/Users_guide.pdf" TargetMode="External"/><Relationship Id="rId28" Type="http://schemas.openxmlformats.org/officeDocument/2006/relationships/hyperlink" Target="mailto:Mikhail.Sofiev@fmi.fi" TargetMode="External"/><Relationship Id="rId36" Type="http://schemas.openxmlformats.org/officeDocument/2006/relationships/hyperlink" Target="http://www.marcopolo-panda.eu" TargetMode="External"/><Relationship Id="rId49" Type="http://schemas.openxmlformats.org/officeDocument/2006/relationships/image" Target="media/image11.emf"/><Relationship Id="rId57" Type="http://schemas.openxmlformats.org/officeDocument/2006/relationships/image" Target="media/image19.png"/><Relationship Id="rId10" Type="http://schemas.openxmlformats.org/officeDocument/2006/relationships/hyperlink" Target="http://modis.gsfc.nasa.gov/data/" TargetMode="External"/><Relationship Id="rId31" Type="http://schemas.openxmlformats.org/officeDocument/2006/relationships/hyperlink" Target="mailto:jiangf@nju.edu.cn" TargetMode="External"/><Relationship Id="rId44" Type="http://schemas.openxmlformats.org/officeDocument/2006/relationships/image" Target="media/image6.png"/><Relationship Id="rId52" Type="http://schemas.openxmlformats.org/officeDocument/2006/relationships/image" Target="media/image14.emf"/><Relationship Id="rId60" Type="http://schemas.openxmlformats.org/officeDocument/2006/relationships/image" Target="media/image22.png"/><Relationship Id="rId65" Type="http://schemas.openxmlformats.org/officeDocument/2006/relationships/image" Target="media/image27.png"/><Relationship Id="rId73" Type="http://schemas.openxmlformats.org/officeDocument/2006/relationships/hyperlink" Target="http://journals.ametsoc.org/doi/abs/10.1175/1520-0493(1981)109%3C0701:AGTDMS%3E2.0.CO%3B2" TargetMode="External"/><Relationship Id="rId78" Type="http://schemas.openxmlformats.org/officeDocument/2006/relationships/hyperlink" Target="https://doi.org/10.1016/j.atmosenv.2017.06.003" TargetMode="External"/><Relationship Id="rId81" Type="http://schemas.openxmlformats.org/officeDocument/2006/relationships/footer" Target="footer2.xml"/><Relationship Id="rId4" Type="http://schemas.openxmlformats.org/officeDocument/2006/relationships/styles" Target="styles.xml"/><Relationship Id="rId9" Type="http://schemas.openxmlformats.org/officeDocument/2006/relationships/hyperlink" Target="mailto:Vincent-henri.peuch@ecmwf.int" TargetMode="External"/><Relationship Id="rId13" Type="http://schemas.openxmlformats.org/officeDocument/2006/relationships/hyperlink" Target="http://www.ozonelayer.noaa.gov/action/sbuv2.htm" TargetMode="External"/><Relationship Id="rId18" Type="http://schemas.openxmlformats.org/officeDocument/2006/relationships/hyperlink" Target="http://file/Users/richard/Downloads/PDF_PMAP_FACTSHEET.pdf" TargetMode="External"/><Relationship Id="rId39" Type="http://schemas.openxmlformats.org/officeDocument/2006/relationships/hyperlink" Target="http://www.marcopolo-panda.eu" TargetMode="External"/><Relationship Id="rId34" Type="http://schemas.openxmlformats.org/officeDocument/2006/relationships/hyperlink" Target="http://edgar.jrc.ec.europa.eu/htap_v2/index.php?SECURE=123" TargetMode="External"/><Relationship Id="rId50" Type="http://schemas.openxmlformats.org/officeDocument/2006/relationships/image" Target="media/image12.emf"/><Relationship Id="rId55" Type="http://schemas.openxmlformats.org/officeDocument/2006/relationships/image" Target="media/image17.emf"/><Relationship Id="rId76" Type="http://schemas.openxmlformats.org/officeDocument/2006/relationships/hyperlink" Target="http://www.atmos-chem-phys.net/15/8115/2015/" TargetMode="External"/><Relationship Id="rId7" Type="http://schemas.openxmlformats.org/officeDocument/2006/relationships/footnotes" Target="footnotes.xml"/><Relationship Id="rId71" Type="http://schemas.openxmlformats.org/officeDocument/2006/relationships/hyperlink" Target="https://doi.org/10.5194/acp-16-3825-2016" TargetMode="External"/><Relationship Id="rId2" Type="http://schemas.openxmlformats.org/officeDocument/2006/relationships/customXml" Target="../customXml/item2.xml"/><Relationship Id="rId29" Type="http://schemas.openxmlformats.org/officeDocument/2006/relationships/hyperlink" Target="https://github.com/metno/emep-ctm" TargetMode="External"/><Relationship Id="rId24" Type="http://schemas.openxmlformats.org/officeDocument/2006/relationships/hyperlink" Target="mailto:idir.bouarar@mpimet.mpg.de" TargetMode="External"/><Relationship Id="rId40" Type="http://schemas.openxmlformats.org/officeDocument/2006/relationships/hyperlink" Target="http://116.62.195.108/%EF%BC%8C" TargetMode="External"/><Relationship Id="rId45" Type="http://schemas.openxmlformats.org/officeDocument/2006/relationships/image" Target="media/image7.emf"/><Relationship Id="rId66"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黑体"/>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宋体"/>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1646C23-1F3A-C44D-8454-611E8293E7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54</Pages>
  <Words>17450</Words>
  <Characters>99470</Characters>
  <Application>Microsoft Office Word</Application>
  <DocSecurity>0</DocSecurity>
  <Lines>828</Lines>
  <Paragraphs>233</Paragraphs>
  <ScaleCrop>false</ScaleCrop>
  <HeadingPairs>
    <vt:vector size="2" baseType="variant">
      <vt:variant>
        <vt:lpstr>Title</vt:lpstr>
      </vt:variant>
      <vt:variant>
        <vt:i4>1</vt:i4>
      </vt:variant>
    </vt:vector>
  </HeadingPairs>
  <TitlesOfParts>
    <vt:vector size="1" baseType="lpstr">
      <vt:lpstr/>
    </vt:vector>
  </TitlesOfParts>
  <Company>SSC-Campus</Company>
  <LinksUpToDate>false</LinksUpToDate>
  <CharactersWithSpaces>116687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Vincent-Henri Peuch</dc:creator>
  <cp:lastModifiedBy>Microsoft Office User</cp:lastModifiedBy>
  <cp:revision>2</cp:revision>
  <cp:lastPrinted>2018-10-11T21:15:00Z</cp:lastPrinted>
  <dcterms:created xsi:type="dcterms:W3CDTF">2018-11-10T04:08:00Z</dcterms:created>
  <dcterms:modified xsi:type="dcterms:W3CDTF">2018-11-10T04:08:00Z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1033-10.2.0.7480</vt:lpwstr>
  </property>
</Properties>
</file>