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1E55A" w14:textId="77777777" w:rsidR="00AE4AC2" w:rsidRPr="00CE6EAA" w:rsidRDefault="00AE4AC2" w:rsidP="00D749B3">
      <w:pPr>
        <w:spacing w:before="100" w:beforeAutospacing="1" w:after="100" w:afterAutospacing="1" w:line="360" w:lineRule="auto"/>
        <w:jc w:val="both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Supporting Information for</w:t>
      </w:r>
    </w:p>
    <w:p w14:paraId="1F48A38F" w14:textId="77777777" w:rsidR="00AE4AC2" w:rsidRDefault="00AE4AC2" w:rsidP="00D749B3">
      <w:pPr>
        <w:tabs>
          <w:tab w:val="left" w:pos="500"/>
        </w:tabs>
        <w:spacing w:line="360" w:lineRule="auto"/>
        <w:jc w:val="both"/>
        <w:rPr>
          <w:b/>
        </w:rPr>
      </w:pPr>
      <w:r w:rsidRPr="00010549">
        <w:rPr>
          <w:b/>
          <w:vertAlign w:val="superscript"/>
        </w:rPr>
        <w:t>231</w:t>
      </w:r>
      <w:r w:rsidRPr="00010549">
        <w:rPr>
          <w:b/>
        </w:rPr>
        <w:t xml:space="preserve">Pa and </w:t>
      </w:r>
      <w:r w:rsidRPr="00010549">
        <w:rPr>
          <w:b/>
          <w:vertAlign w:val="superscript"/>
        </w:rPr>
        <w:t>230</w:t>
      </w:r>
      <w:r w:rsidRPr="00010549">
        <w:rPr>
          <w:b/>
        </w:rPr>
        <w:t>Th in the ocean model of the Community Earth System Model (CESM1.3)</w:t>
      </w:r>
    </w:p>
    <w:p w14:paraId="40B77426" w14:textId="77777777" w:rsidR="00AE4AC2" w:rsidRDefault="00AE4AC2" w:rsidP="00D749B3">
      <w:pPr>
        <w:tabs>
          <w:tab w:val="left" w:pos="500"/>
        </w:tabs>
        <w:spacing w:line="360" w:lineRule="auto"/>
        <w:jc w:val="both"/>
        <w:rPr>
          <w:b/>
        </w:rPr>
      </w:pPr>
    </w:p>
    <w:p w14:paraId="58EFAF6B" w14:textId="77777777" w:rsidR="003677BA" w:rsidRPr="00106EAE" w:rsidRDefault="00AE4AC2" w:rsidP="00D749B3">
      <w:pPr>
        <w:pStyle w:val="ListParagraph"/>
        <w:numPr>
          <w:ilvl w:val="0"/>
          <w:numId w:val="2"/>
        </w:numPr>
        <w:tabs>
          <w:tab w:val="left" w:pos="500"/>
        </w:tabs>
        <w:spacing w:line="360" w:lineRule="auto"/>
        <w:jc w:val="both"/>
      </w:pPr>
      <w:r w:rsidRPr="00AE4AC2">
        <w:t>Vertical differentiation scheme in calculating the reversible scavenging term</w:t>
      </w:r>
      <w:r w:rsidR="00106EAE">
        <w:t xml:space="preserve">: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f>
          <m:f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sSubSup>
              <m:sSubSupPr>
                <m:ctrlPr>
                  <w:rPr>
                    <w:rFonts w:ascii="Cambria Math" w:eastAsiaTheme="minorEastAsia" w:hAnsi="Cambria Math" w:cstheme="minorBidi"/>
                    <w:i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  <m:sup/>
            </m:sSubSup>
          </m:num>
          <m:den>
            <m:r>
              <w:rPr>
                <w:rFonts w:ascii="Cambria Math" w:hAnsi="Cambria Math"/>
              </w:rPr>
              <m:t>∂z</m:t>
            </m:r>
          </m:den>
        </m:f>
      </m:oMath>
    </w:p>
    <w:p w14:paraId="7E297EFF" w14:textId="77777777" w:rsidR="003677BA" w:rsidRDefault="003677BA" w:rsidP="00D749B3">
      <w:pPr>
        <w:tabs>
          <w:tab w:val="left" w:pos="500"/>
        </w:tabs>
        <w:spacing w:line="360" w:lineRule="auto"/>
        <w:ind w:left="360"/>
        <w:jc w:val="both"/>
      </w:pPr>
      <w:r>
        <w:tab/>
      </w:r>
      <w:r>
        <w:tab/>
      </w:r>
      <w:r w:rsidR="00106EAE">
        <w:t xml:space="preserve">In the calculation of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f>
          <m:f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sSubSup>
              <m:sSubSupPr>
                <m:ctrlPr>
                  <w:rPr>
                    <w:rFonts w:ascii="Cambria Math" w:eastAsiaTheme="minorEastAsia" w:hAnsi="Cambria Math" w:cstheme="minorBidi"/>
                    <w:i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  <m:sup/>
            </m:sSubSup>
          </m:num>
          <m:den>
            <m:r>
              <w:rPr>
                <w:rFonts w:ascii="Cambria Math" w:hAnsi="Cambria Math"/>
              </w:rPr>
              <m:t>∂z</m:t>
            </m:r>
          </m:den>
        </m:f>
      </m:oMath>
      <w:r w:rsidR="00106EAE">
        <w:rPr>
          <w:szCs w:val="24"/>
        </w:rPr>
        <w:t xml:space="preserve">, we </w:t>
      </w:r>
      <w:r w:rsidR="00106EAE">
        <w:t>consider downward as positive</w:t>
      </w:r>
      <w:r w:rsidR="00106EAE">
        <w:t xml:space="preserve"> (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106EAE">
        <w:t xml:space="preserve"> is positive)</w:t>
      </w:r>
      <w:r w:rsidR="00106EAE">
        <w:t>.</w:t>
      </w:r>
      <m:oMath>
        <m:r>
          <w:rPr>
            <w:rFonts w:ascii="Cambria Math" w:eastAsiaTheme="minorEastAsia" w:hAnsi="Cambria Math" w:cstheme="minorBidi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f>
          <m:f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sSubSup>
              <m:sSubSupPr>
                <m:ctrlPr>
                  <w:rPr>
                    <w:rFonts w:ascii="Cambria Math" w:eastAsiaTheme="minorEastAsia" w:hAnsi="Cambria Math" w:cstheme="minorBidi"/>
                    <w:i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  <m:sup/>
            </m:sSubSup>
          </m:num>
          <m:den>
            <m:r>
              <w:rPr>
                <w:rFonts w:ascii="Cambria Math" w:hAnsi="Cambria Math"/>
              </w:rPr>
              <m:t>∂z</m:t>
            </m:r>
          </m:den>
        </m:f>
      </m:oMath>
      <w:r>
        <w:t xml:space="preserve"> can be calculated by Eq.(S1).</w:t>
      </w:r>
      <w:r w:rsidR="00D749B3">
        <w:t xml:space="preserve"> Detailed notations are illustrated in Fig.S1.</w:t>
      </w:r>
    </w:p>
    <w:p w14:paraId="18FA08C1" w14:textId="77777777" w:rsidR="00106EAE" w:rsidRDefault="003677BA" w:rsidP="00D749B3">
      <w:pPr>
        <w:tabs>
          <w:tab w:val="left" w:pos="500"/>
        </w:tabs>
        <w:spacing w:line="360" w:lineRule="auto"/>
        <w:ind w:left="360"/>
        <w:jc w:val="both"/>
      </w:pPr>
      <w:r>
        <w:t xml:space="preserve"> </w:t>
      </w:r>
    </w:p>
    <w:p w14:paraId="4B2EA15D" w14:textId="77777777" w:rsidR="00106EAE" w:rsidRDefault="003677BA" w:rsidP="00D749B3">
      <w:pPr>
        <w:tabs>
          <w:tab w:val="left" w:pos="500"/>
        </w:tabs>
        <w:spacing w:line="360" w:lineRule="auto"/>
        <w:ind w:left="360"/>
        <w:jc w:val="both"/>
      </w:pPr>
      <m:oMath>
        <m:sSub>
          <m:sSub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</m:num>
          <m:den>
            <m:r>
              <w:rPr>
                <w:rFonts w:ascii="Cambria Math" w:hAnsi="Cambria Math"/>
              </w:rPr>
              <m:t>∂z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k+1</m:t>
                </m:r>
              </m:e>
            </m:d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</m:t>
                </m:r>
              </m:e>
            </m:d>
          </m:num>
          <m:den>
            <m:r>
              <w:rPr>
                <w:rFonts w:ascii="Cambria Math" w:hAnsi="Cambria Math"/>
              </w:rPr>
              <m:t>dz(k)</m:t>
            </m:r>
          </m:den>
        </m:f>
      </m:oMath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(S1)</w:t>
      </w:r>
    </w:p>
    <w:p w14:paraId="56F1510A" w14:textId="77777777" w:rsidR="003677BA" w:rsidRDefault="003677BA" w:rsidP="00D749B3">
      <w:pPr>
        <w:tabs>
          <w:tab w:val="left" w:pos="500"/>
        </w:tabs>
        <w:spacing w:line="360" w:lineRule="auto"/>
        <w:ind w:left="360"/>
        <w:jc w:val="both"/>
      </w:pPr>
    </w:p>
    <w:p w14:paraId="02BEC7D3" w14:textId="77777777" w:rsidR="00EF7552" w:rsidRDefault="00EF7552" w:rsidP="00EF7552">
      <w:pPr>
        <w:tabs>
          <w:tab w:val="left" w:pos="500"/>
        </w:tabs>
        <w:spacing w:line="360" w:lineRule="auto"/>
        <w:ind w:left="36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u</m:t>
        </m:r>
      </m:oMath>
      <w:r>
        <w:t xml:space="preserve">, which is the particulate isotope activity at the upper bound of the grid box, can be calculated by Eq. (S2). </w:t>
      </w:r>
      <w:r w:rsidR="00D749B3">
        <w:t>For the surface layer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  <w:r w:rsidR="00D749B3">
        <w:t xml:space="preserve">), we assume the particulate isotope activity at surface is 0, which is true as there is no surface flux for </w:t>
      </w:r>
      <w:r w:rsidR="00D749B3">
        <w:t>calcite, opal and POC</w:t>
      </w:r>
      <w:r w:rsidR="00D749B3">
        <w:t>.</w:t>
      </w:r>
      <w:r>
        <w:t xml:space="preserve"> For layers between the surface and the bottom, we use liner interpolation. For the bottom layer, we assume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kmt+1</m:t>
            </m:r>
          </m:e>
        </m:d>
      </m:oMath>
      <w:r>
        <w:t xml:space="preserve">, which is the particulate isotope activity at the lower bound of the bottom cell, equals </w:t>
      </w:r>
      <w:r>
        <w:t>particulate isotope activity at</w:t>
      </w:r>
      <w:r>
        <w:t xml:space="preserve"> the center of the bottom cell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kmt</m:t>
            </m:r>
          </m:e>
        </m:d>
      </m:oMath>
      <w:r>
        <w:t xml:space="preserve">). This is a reasonable assumption, as the </w:t>
      </w:r>
      <w:r w:rsidR="008C6AE1">
        <w:t>vertical gradient in the abyssal is very small.</w:t>
      </w:r>
    </w:p>
    <w:p w14:paraId="6C049F4C" w14:textId="77777777" w:rsidR="003677BA" w:rsidRDefault="003677BA" w:rsidP="00D749B3">
      <w:pPr>
        <w:tabs>
          <w:tab w:val="left" w:pos="500"/>
        </w:tabs>
        <w:spacing w:line="360" w:lineRule="auto"/>
        <w:jc w:val="both"/>
      </w:pPr>
    </w:p>
    <w:p w14:paraId="086028EA" w14:textId="77777777" w:rsidR="003677BA" w:rsidRPr="00F47BA4" w:rsidRDefault="003677BA" w:rsidP="00D749B3">
      <w:pPr>
        <w:tabs>
          <w:tab w:val="left" w:pos="500"/>
        </w:tabs>
        <w:spacing w:line="360" w:lineRule="auto"/>
        <w:ind w:left="36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 xml:space="preserve">=0 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C0E5E9D" w14:textId="77777777" w:rsidR="003677BA" w:rsidRDefault="00F47BA4" w:rsidP="00D749B3">
      <w:pPr>
        <w:tabs>
          <w:tab w:val="left" w:pos="500"/>
        </w:tabs>
        <w:spacing w:line="360" w:lineRule="auto"/>
        <w:ind w:left="36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</m:t>
            </m:r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+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</m:t>
                </m:r>
              </m:e>
            </m:d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  <m:r>
              <w:rPr>
                <w:rFonts w:ascii="Cambria Math" w:hAnsi="Cambria Math"/>
              </w:rPr>
              <m:t>(k-1)</m:t>
            </m:r>
          </m:num>
          <m:den>
            <m:r>
              <w:rPr>
                <w:rFonts w:ascii="Cambria Math" w:hAnsi="Cambria Math"/>
              </w:rPr>
              <m:t>dzw(k-1)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dz(k-1)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       (1&lt;k</m:t>
        </m:r>
        <m:r>
          <w:rPr>
            <w:rFonts w:ascii="Cambria Math" w:hAnsi="Cambria Math"/>
          </w:rPr>
          <m:t>≤</m:t>
        </m:r>
        <m:r>
          <w:rPr>
            <w:rFonts w:ascii="Cambria Math" w:hAnsi="Cambria Math"/>
          </w:rPr>
          <m:t>kmt)</m:t>
        </m:r>
      </m:oMath>
      <w:r w:rsidR="003677BA">
        <w:tab/>
      </w:r>
      <w:r w:rsidR="003677BA">
        <w:tab/>
      </w:r>
      <w:r w:rsidR="003677BA">
        <w:tab/>
        <w:t>(S2)</w:t>
      </w:r>
    </w:p>
    <w:p w14:paraId="7E50A36B" w14:textId="77777777" w:rsidR="003677BA" w:rsidRPr="00F47BA4" w:rsidRDefault="003677BA" w:rsidP="00D749B3">
      <w:pPr>
        <w:tabs>
          <w:tab w:val="left" w:pos="500"/>
        </w:tabs>
        <w:spacing w:line="360" w:lineRule="auto"/>
        <w:ind w:left="36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kmt</m:t>
            </m:r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 xml:space="preserve"> 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</m:t>
            </m:r>
            <m:r>
              <w:rPr>
                <w:rFonts w:ascii="Cambria Math" w:hAnsi="Cambria Math"/>
              </w:rPr>
              <m:t>mt</m:t>
            </m:r>
          </m:e>
        </m:d>
      </m:oMath>
      <w:r>
        <w:tab/>
      </w:r>
    </w:p>
    <w:p w14:paraId="769A3FC5" w14:textId="77777777" w:rsidR="00F47BA4" w:rsidRPr="00DF1EF1" w:rsidRDefault="00F47BA4" w:rsidP="00D749B3">
      <w:pPr>
        <w:tabs>
          <w:tab w:val="left" w:pos="500"/>
        </w:tabs>
        <w:spacing w:line="360" w:lineRule="auto"/>
        <w:ind w:left="360"/>
        <w:jc w:val="both"/>
      </w:pPr>
    </w:p>
    <w:p w14:paraId="1D5C5DB8" w14:textId="112F2936" w:rsidR="0041571E" w:rsidRDefault="00C83854" w:rsidP="0041571E">
      <w:pPr>
        <w:spacing w:line="360" w:lineRule="auto"/>
        <w:jc w:val="both"/>
      </w:pPr>
      <w:r>
        <w:t xml:space="preserve">Under this vertical differentiation scheme, </w:t>
      </w:r>
      <w:r w:rsidR="00015B20">
        <w:t xml:space="preserve">if we do vertical integration of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f>
          <m:f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sSubSup>
              <m:sSubSupPr>
                <m:ctrlPr>
                  <w:rPr>
                    <w:rFonts w:ascii="Cambria Math" w:eastAsiaTheme="minorEastAsia" w:hAnsi="Cambria Math" w:cstheme="minorBidi"/>
                    <w:i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  <m:sup/>
            </m:sSubSup>
          </m:num>
          <m:den>
            <m:r>
              <w:rPr>
                <w:rFonts w:ascii="Cambria Math" w:hAnsi="Cambria Math"/>
              </w:rPr>
              <m:t>∂z</m:t>
            </m:r>
          </m:den>
        </m:f>
      </m:oMath>
      <w:r w:rsidR="00015B20">
        <w:rPr>
          <w:szCs w:val="24"/>
        </w:rPr>
        <w:t xml:space="preserve">, we will get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kmt</m:t>
            </m:r>
          </m:e>
        </m:d>
      </m:oMath>
      <w:r w:rsidR="00E31964">
        <w:t xml:space="preserve">, which is the </w:t>
      </w:r>
      <w:r w:rsidR="00071B3E">
        <w:t xml:space="preserve">column </w:t>
      </w:r>
      <w:r w:rsidR="000101E8">
        <w:t>re</w:t>
      </w:r>
      <w:r w:rsidR="00071B3E">
        <w:t xml:space="preserve">moval rate of </w:t>
      </w:r>
      <w:r w:rsidR="00EE69BC">
        <w:t>isotope activity and this simulates</w:t>
      </w:r>
      <w:r w:rsidR="0041571E">
        <w:t xml:space="preserve"> the process of sedimentation. </w:t>
      </w:r>
      <w:r w:rsidR="00071B3E">
        <w:t xml:space="preserve"> </w:t>
      </w:r>
      <w:r w:rsidR="0041571E">
        <w:t xml:space="preserve">Therefore, we use </w:t>
      </w:r>
      <w:r w:rsidR="0041571E">
        <w:t>[</w:t>
      </w:r>
      <w:r w:rsidR="0041571E" w:rsidRPr="0018645C">
        <w:rPr>
          <w:vertAlign w:val="superscript"/>
        </w:rPr>
        <w:t>231</w:t>
      </w:r>
      <w:proofErr w:type="gramStart"/>
      <w:r w:rsidR="0041571E">
        <w:t>Pa]</w:t>
      </w:r>
      <w:r w:rsidR="0041571E" w:rsidRPr="004168E0">
        <w:rPr>
          <w:vertAlign w:val="subscript"/>
        </w:rPr>
        <w:t>p</w:t>
      </w:r>
      <w:proofErr w:type="gramEnd"/>
      <w:r w:rsidR="0041571E">
        <w:t xml:space="preserve"> and </w:t>
      </w:r>
      <w:r w:rsidR="0041571E">
        <w:t>[</w:t>
      </w:r>
      <w:r w:rsidR="0041571E" w:rsidRPr="0018645C">
        <w:rPr>
          <w:vertAlign w:val="superscript"/>
        </w:rPr>
        <w:t>230</w:t>
      </w:r>
      <w:r w:rsidR="0041571E" w:rsidRPr="00C0763E">
        <w:t>Th</w:t>
      </w:r>
      <w:r w:rsidR="0041571E">
        <w:t>]</w:t>
      </w:r>
      <w:r w:rsidR="0041571E" w:rsidRPr="004168E0">
        <w:rPr>
          <w:vertAlign w:val="subscript"/>
        </w:rPr>
        <w:t>p</w:t>
      </w:r>
      <w:r w:rsidR="0041571E">
        <w:t xml:space="preserve"> in the bottom grid box to calculate s</w:t>
      </w:r>
      <w:r w:rsidR="0041571E">
        <w:t xml:space="preserve">ediment </w:t>
      </w:r>
      <w:r w:rsidR="0041571E" w:rsidRPr="0018645C">
        <w:rPr>
          <w:vertAlign w:val="superscript"/>
        </w:rPr>
        <w:t>231</w:t>
      </w:r>
      <w:r w:rsidR="0041571E">
        <w:t>Pa/</w:t>
      </w:r>
      <w:r w:rsidR="0041571E" w:rsidRPr="0018645C">
        <w:rPr>
          <w:vertAlign w:val="superscript"/>
        </w:rPr>
        <w:t>230</w:t>
      </w:r>
      <w:r w:rsidR="0041571E" w:rsidRPr="0018645C">
        <w:t>Th</w:t>
      </w:r>
      <w:r w:rsidR="0041571E">
        <w:t xml:space="preserve"> activity ratio</w:t>
      </w:r>
      <w:r w:rsidR="0041571E">
        <w:t xml:space="preserve"> in our model</w:t>
      </w:r>
      <w:r w:rsidR="0041571E">
        <w:t>.</w:t>
      </w:r>
    </w:p>
    <w:p w14:paraId="168D6B2B" w14:textId="7AAEC22E" w:rsidR="00DF1EF1" w:rsidRDefault="00DF1EF1" w:rsidP="00D749B3">
      <w:pPr>
        <w:tabs>
          <w:tab w:val="left" w:pos="500"/>
        </w:tabs>
        <w:spacing w:line="360" w:lineRule="auto"/>
        <w:ind w:left="360"/>
        <w:jc w:val="both"/>
      </w:pPr>
    </w:p>
    <w:p w14:paraId="4A551B2D" w14:textId="77777777" w:rsidR="00F31019" w:rsidRPr="00AE4AC2" w:rsidRDefault="00F31019" w:rsidP="00D749B3">
      <w:pPr>
        <w:pStyle w:val="ListParagraph"/>
        <w:tabs>
          <w:tab w:val="left" w:pos="500"/>
        </w:tabs>
        <w:spacing w:line="360" w:lineRule="auto"/>
        <w:jc w:val="both"/>
      </w:pPr>
      <w:bookmarkStart w:id="0" w:name="_GoBack"/>
      <w:bookmarkEnd w:id="0"/>
    </w:p>
    <w:p w14:paraId="3E005CEC" w14:textId="77777777" w:rsidR="0002429C" w:rsidRDefault="00106EAE" w:rsidP="00D749B3">
      <w:pPr>
        <w:spacing w:line="360" w:lineRule="auto"/>
        <w:jc w:val="both"/>
      </w:pPr>
      <w:r>
        <w:rPr>
          <w:noProof/>
          <w:lang w:eastAsia="zh-CN"/>
        </w:rPr>
        <w:lastRenderedPageBreak/>
        <w:drawing>
          <wp:inline distT="0" distB="0" distL="0" distR="0" wp14:anchorId="48144C29" wp14:editId="4DBA9257">
            <wp:extent cx="6575626" cy="3874703"/>
            <wp:effectExtent l="0" t="0" r="0" b="0"/>
            <wp:docPr id="2" name="Picture 2" descr="/Users/sifan/Documents/research/Nd/scheme/diff_PaTh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sifan/Documents/research/Nd/scheme/diff_PaTh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863" r="34862" b="35489"/>
                    <a:stretch/>
                  </pic:blipFill>
                  <pic:spPr bwMode="auto">
                    <a:xfrm>
                      <a:off x="0" y="0"/>
                      <a:ext cx="6623977" cy="3903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F99FD4" w14:textId="77777777" w:rsidR="00106EAE" w:rsidRPr="00106EAE" w:rsidRDefault="00106EAE" w:rsidP="00D749B3">
      <w:pPr>
        <w:spacing w:line="360" w:lineRule="auto"/>
        <w:jc w:val="both"/>
      </w:pPr>
      <w:r>
        <w:t xml:space="preserve">Figure </w:t>
      </w:r>
      <w:r w:rsidR="00D749B3">
        <w:t>S</w:t>
      </w:r>
      <w:r>
        <w:t xml:space="preserve">1. Schematic of model grid. k is the vertical layer. </w:t>
      </w:r>
      <w:proofErr w:type="spellStart"/>
      <w:r>
        <w:t>kmt</w:t>
      </w:r>
      <w:proofErr w:type="spellEnd"/>
      <w:r>
        <w:t xml:space="preserve"> is the maximum vertical layer at this location (k=</w:t>
      </w:r>
      <w:proofErr w:type="spellStart"/>
      <w:r>
        <w:t>kmt</w:t>
      </w:r>
      <w:proofErr w:type="spellEnd"/>
      <w:r>
        <w:t xml:space="preserve"> is the bottom layer). A</w:t>
      </w:r>
      <w:r w:rsidRPr="00106EAE">
        <w:rPr>
          <w:vertAlign w:val="subscript"/>
        </w:rPr>
        <w:t>t</w:t>
      </w:r>
      <w:r>
        <w:t xml:space="preserve"> is the total isotope activity. </w:t>
      </w:r>
      <w:proofErr w:type="spellStart"/>
      <w:r>
        <w:t>A</w:t>
      </w:r>
      <w:r w:rsidRPr="00106EAE">
        <w:rPr>
          <w:vertAlign w:val="subscript"/>
        </w:rPr>
        <w:t>p</w:t>
      </w:r>
      <w:proofErr w:type="spellEnd"/>
      <w:r>
        <w:t xml:space="preserve"> is particulate isotope activity. </w:t>
      </w:r>
      <w:r w:rsidR="00F47BA4">
        <w:t>A</w:t>
      </w:r>
      <w:r w:rsidR="00F47BA4" w:rsidRPr="00106EAE">
        <w:rPr>
          <w:vertAlign w:val="subscript"/>
        </w:rPr>
        <w:t>t</w:t>
      </w:r>
      <w:r w:rsidR="00F47BA4">
        <w:t xml:space="preserve"> </w:t>
      </w:r>
      <w:r w:rsidR="00F47BA4">
        <w:t xml:space="preserve">and </w:t>
      </w:r>
      <w:proofErr w:type="spellStart"/>
      <w:r w:rsidR="00F47BA4">
        <w:t>A</w:t>
      </w:r>
      <w:r w:rsidR="00F47BA4" w:rsidRPr="00106EAE">
        <w:rPr>
          <w:vertAlign w:val="subscript"/>
        </w:rPr>
        <w:t>p</w:t>
      </w:r>
      <w:proofErr w:type="spellEnd"/>
      <w:r w:rsidR="00F47BA4">
        <w:t xml:space="preserve"> </w:t>
      </w:r>
      <w:r w:rsidR="00F47BA4">
        <w:t xml:space="preserve">are located at the center of the grid box. </w:t>
      </w:r>
      <w:proofErr w:type="spellStart"/>
      <w:r>
        <w:t>A</w:t>
      </w:r>
      <w:r w:rsidRPr="00106EAE">
        <w:rPr>
          <w:vertAlign w:val="subscript"/>
        </w:rPr>
        <w:t>p</w:t>
      </w:r>
      <w:r>
        <w:t>u</w:t>
      </w:r>
      <w:proofErr w:type="spellEnd"/>
      <w:r>
        <w:t xml:space="preserve"> is the </w:t>
      </w:r>
      <w:proofErr w:type="spellStart"/>
      <w:r>
        <w:t>A</w:t>
      </w:r>
      <w:r w:rsidRPr="00106EAE">
        <w:rPr>
          <w:vertAlign w:val="subscript"/>
        </w:rPr>
        <w:t>p</w:t>
      </w:r>
      <w:proofErr w:type="spellEnd"/>
      <w:r>
        <w:t xml:space="preserve"> value at the upper bound of the grid box. </w:t>
      </w:r>
      <w:proofErr w:type="spellStart"/>
      <w:r>
        <w:t>dz</w:t>
      </w:r>
      <w:proofErr w:type="spellEnd"/>
      <w:r>
        <w:t xml:space="preserve">(k) is the thickness of the layer k. </w:t>
      </w:r>
      <w:proofErr w:type="spellStart"/>
      <w:r>
        <w:t>dzw</w:t>
      </w:r>
      <w:proofErr w:type="spellEnd"/>
      <w:r>
        <w:t>(k) is the distance from the center of layer k to the center of layer k+1.</w:t>
      </w:r>
    </w:p>
    <w:sectPr w:rsidR="00106EAE" w:rsidRPr="00106EAE" w:rsidSect="007F2FA5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B2821"/>
    <w:multiLevelType w:val="hybridMultilevel"/>
    <w:tmpl w:val="94E80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D7A9B"/>
    <w:multiLevelType w:val="hybridMultilevel"/>
    <w:tmpl w:val="F9C46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C2"/>
    <w:rsid w:val="000101E8"/>
    <w:rsid w:val="00015B20"/>
    <w:rsid w:val="0002429C"/>
    <w:rsid w:val="00071B3E"/>
    <w:rsid w:val="00106EAE"/>
    <w:rsid w:val="003677BA"/>
    <w:rsid w:val="0041571E"/>
    <w:rsid w:val="0045190F"/>
    <w:rsid w:val="007F2FA5"/>
    <w:rsid w:val="008C6AE1"/>
    <w:rsid w:val="00AE4AC2"/>
    <w:rsid w:val="00C83854"/>
    <w:rsid w:val="00D749B3"/>
    <w:rsid w:val="00DF1EF1"/>
    <w:rsid w:val="00E31964"/>
    <w:rsid w:val="00EE69BC"/>
    <w:rsid w:val="00EF7552"/>
    <w:rsid w:val="00F31019"/>
    <w:rsid w:val="00F4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A82B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E4AC2"/>
    <w:rPr>
      <w:rFonts w:ascii="Times New Roman" w:eastAsia="Times New Roman" w:hAnsi="Times New Roman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AC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06E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326</Words>
  <Characters>1863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2017-03-15T22:45:00Z</dcterms:created>
  <dcterms:modified xsi:type="dcterms:W3CDTF">2017-03-16T00:12:00Z</dcterms:modified>
</cp:coreProperties>
</file>