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9C6" w:rsidRDefault="00E94B96">
      <w:pPr>
        <w:tabs>
          <w:tab w:val="left" w:pos="720"/>
          <w:tab w:val="left" w:pos="7796"/>
        </w:tabs>
        <w:spacing w:before="0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Supporting information</w:t>
      </w:r>
    </w:p>
    <w:p w:rsidR="004559C6" w:rsidRDefault="004559C6">
      <w:pPr>
        <w:tabs>
          <w:tab w:val="left" w:pos="720"/>
          <w:tab w:val="left" w:pos="7796"/>
        </w:tabs>
        <w:spacing w:before="0"/>
        <w:jc w:val="left"/>
        <w:rPr>
          <w:rFonts w:ascii="Arial" w:hAnsi="Arial" w:cs="Arial"/>
          <w:b/>
          <w:sz w:val="32"/>
          <w:szCs w:val="32"/>
        </w:rPr>
      </w:pPr>
    </w:p>
    <w:p w:rsidR="004559C6" w:rsidRDefault="00E94B96">
      <w:pPr>
        <w:tabs>
          <w:tab w:val="left" w:pos="720"/>
          <w:tab w:val="left" w:pos="7796"/>
        </w:tabs>
        <w:spacing w:before="0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Coupling global models for hydrology and nutrient loading to simulate nitrogen and phosphorus retention in surface water. Description of IMAGE-GNM and analysis of performance</w:t>
      </w:r>
    </w:p>
    <w:p w:rsidR="004559C6" w:rsidRDefault="004559C6">
      <w:pPr>
        <w:tabs>
          <w:tab w:val="left" w:pos="720"/>
          <w:tab w:val="left" w:pos="7796"/>
        </w:tabs>
        <w:spacing w:before="0"/>
        <w:jc w:val="left"/>
        <w:rPr>
          <w:szCs w:val="24"/>
        </w:rPr>
      </w:pPr>
    </w:p>
    <w:p w:rsidR="004559C6" w:rsidRDefault="00E94B96">
      <w:pPr>
        <w:tabs>
          <w:tab w:val="left" w:pos="720"/>
          <w:tab w:val="left" w:pos="7796"/>
        </w:tabs>
        <w:spacing w:before="0"/>
        <w:jc w:val="left"/>
        <w:rPr>
          <w:rFonts w:ascii="Arial" w:hAnsi="Arial" w:cs="Arial"/>
          <w:szCs w:val="24"/>
          <w:vertAlign w:val="superscript"/>
        </w:rPr>
      </w:pPr>
      <w:r>
        <w:rPr>
          <w:rFonts w:ascii="Arial" w:hAnsi="Arial" w:cs="Arial"/>
          <w:szCs w:val="24"/>
        </w:rPr>
        <w:t>A.H.W. Beusen</w:t>
      </w:r>
      <w:r>
        <w:rPr>
          <w:rFonts w:ascii="Arial" w:hAnsi="Arial" w:cs="Arial"/>
          <w:szCs w:val="24"/>
          <w:vertAlign w:val="superscript"/>
        </w:rPr>
        <w:t>1,2</w:t>
      </w:r>
      <w:r>
        <w:rPr>
          <w:rFonts w:ascii="Arial" w:hAnsi="Arial" w:cs="Arial"/>
          <w:szCs w:val="24"/>
        </w:rPr>
        <w:t>, L.P.H. Van Beek</w:t>
      </w:r>
      <w:r>
        <w:rPr>
          <w:rFonts w:ascii="Arial" w:hAnsi="Arial" w:cs="Arial"/>
          <w:szCs w:val="24"/>
          <w:vertAlign w:val="superscript"/>
        </w:rPr>
        <w:t>3</w:t>
      </w:r>
      <w:r>
        <w:rPr>
          <w:rFonts w:ascii="Arial" w:hAnsi="Arial" w:cs="Arial"/>
          <w:szCs w:val="24"/>
        </w:rPr>
        <w:t>, A.F. Bouwman</w:t>
      </w:r>
      <w:r>
        <w:rPr>
          <w:rFonts w:ascii="Arial" w:hAnsi="Arial" w:cs="Arial"/>
          <w:szCs w:val="24"/>
          <w:vertAlign w:val="superscript"/>
        </w:rPr>
        <w:t>1,2</w:t>
      </w:r>
      <w:r>
        <w:rPr>
          <w:rFonts w:ascii="Arial" w:hAnsi="Arial" w:cs="Arial"/>
          <w:szCs w:val="24"/>
        </w:rPr>
        <w:t xml:space="preserve">, </w:t>
      </w:r>
      <w:r w:rsidR="00171DB4">
        <w:rPr>
          <w:rFonts w:ascii="Arial" w:hAnsi="Arial" w:cs="Arial"/>
          <w:szCs w:val="24"/>
        </w:rPr>
        <w:t xml:space="preserve">J.M. </w:t>
      </w:r>
      <w:r w:rsidR="00171DB4" w:rsidRPr="00171DB4">
        <w:rPr>
          <w:rFonts w:ascii="Arial" w:hAnsi="Arial" w:cs="Arial"/>
          <w:szCs w:val="24"/>
        </w:rPr>
        <w:t>Mogollón</w:t>
      </w:r>
      <w:r w:rsidR="00171DB4">
        <w:rPr>
          <w:rFonts w:ascii="Arial" w:hAnsi="Arial" w:cs="Arial"/>
          <w:szCs w:val="24"/>
          <w:vertAlign w:val="superscript"/>
        </w:rPr>
        <w:t>1</w:t>
      </w:r>
      <w:bookmarkStart w:id="0" w:name="_GoBack"/>
      <w:bookmarkEnd w:id="0"/>
      <w:r w:rsidR="00171DB4">
        <w:rPr>
          <w:rFonts w:ascii="Arial" w:hAnsi="Arial" w:cs="Arial"/>
          <w:szCs w:val="24"/>
        </w:rPr>
        <w:t xml:space="preserve">, </w:t>
      </w:r>
      <w:r w:rsidRPr="00171DB4">
        <w:rPr>
          <w:rFonts w:ascii="Arial" w:hAnsi="Arial" w:cs="Arial"/>
          <w:szCs w:val="24"/>
        </w:rPr>
        <w:t>J</w:t>
      </w:r>
      <w:r>
        <w:rPr>
          <w:rFonts w:ascii="Arial" w:hAnsi="Arial" w:cs="Arial"/>
          <w:szCs w:val="24"/>
        </w:rPr>
        <w:t>.J. Middelburg</w:t>
      </w:r>
      <w:r>
        <w:rPr>
          <w:rFonts w:ascii="Arial" w:hAnsi="Arial" w:cs="Arial"/>
          <w:szCs w:val="24"/>
          <w:vertAlign w:val="superscript"/>
        </w:rPr>
        <w:t>1</w:t>
      </w:r>
    </w:p>
    <w:p w:rsidR="004559C6" w:rsidRDefault="00E94B96">
      <w:pPr>
        <w:tabs>
          <w:tab w:val="left" w:pos="720"/>
          <w:tab w:val="left" w:pos="7796"/>
        </w:tabs>
        <w:spacing w:before="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[1] {Department of Earth Sciences – Geochemistry, Faculty of Geosciences, Utrecht University, PO Box 80021, 3508 TA Utrecht, The Netherlands}</w:t>
      </w:r>
    </w:p>
    <w:p w:rsidR="004559C6" w:rsidRDefault="00E94B96">
      <w:pPr>
        <w:tabs>
          <w:tab w:val="left" w:pos="720"/>
          <w:tab w:val="left" w:pos="7796"/>
        </w:tabs>
        <w:spacing w:before="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[2] {PBL Netherlands Environmental Assessment Agency, P.O. Box 303, 3720 AH </w:t>
      </w:r>
      <w:proofErr w:type="spellStart"/>
      <w:r>
        <w:rPr>
          <w:rFonts w:ascii="Arial" w:hAnsi="Arial" w:cs="Arial"/>
          <w:szCs w:val="24"/>
        </w:rPr>
        <w:t>Bilthoven</w:t>
      </w:r>
      <w:proofErr w:type="spellEnd"/>
      <w:r>
        <w:rPr>
          <w:rFonts w:ascii="Arial" w:hAnsi="Arial" w:cs="Arial"/>
          <w:szCs w:val="24"/>
        </w:rPr>
        <w:t>, The Netherlands}</w:t>
      </w:r>
    </w:p>
    <w:p w:rsidR="004559C6" w:rsidRDefault="00E94B96">
      <w:pPr>
        <w:tabs>
          <w:tab w:val="left" w:pos="720"/>
          <w:tab w:val="left" w:pos="7796"/>
        </w:tabs>
        <w:spacing w:before="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[3] {</w:t>
      </w:r>
      <w:r>
        <w:rPr>
          <w:rFonts w:ascii="Arial" w:hAnsi="Arial" w:cs="Arial"/>
        </w:rPr>
        <w:t>Department of Physical Geography</w:t>
      </w:r>
      <w:r>
        <w:rPr>
          <w:rFonts w:ascii="Arial" w:hAnsi="Arial" w:cs="Arial"/>
          <w:szCs w:val="24"/>
        </w:rPr>
        <w:t>, Faculty of Geosciences, Utrecht University, P.O. Box 80.115, 3508 TC Utrecht, The Netherlands}</w:t>
      </w:r>
    </w:p>
    <w:p w:rsidR="004559C6" w:rsidRDefault="004559C6">
      <w:pPr>
        <w:tabs>
          <w:tab w:val="left" w:pos="720"/>
          <w:tab w:val="left" w:pos="7796"/>
        </w:tabs>
        <w:rPr>
          <w:rFonts w:ascii="Arial" w:hAnsi="Arial" w:cs="Arial"/>
          <w:lang w:val="en-GB"/>
        </w:rPr>
      </w:pPr>
    </w:p>
    <w:p w:rsidR="004559C6" w:rsidRDefault="00E94B96">
      <w:pPr>
        <w:tabs>
          <w:tab w:val="left" w:pos="720"/>
          <w:tab w:val="left" w:pos="7796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Correspondence to: A.H.W. Beusen (arthur.beusen@pbl.nl)</w:t>
      </w:r>
    </w:p>
    <w:p w:rsidR="004559C6" w:rsidRDefault="004559C6">
      <w:pPr>
        <w:rPr>
          <w:b/>
        </w:rPr>
      </w:pPr>
    </w:p>
    <w:p w:rsidR="004559C6" w:rsidRDefault="00E94B96">
      <w:pPr>
        <w:rPr>
          <w:b/>
        </w:rPr>
      </w:pPr>
      <w:r>
        <w:rPr>
          <w:b/>
        </w:rPr>
        <w:t>Agreement</w:t>
      </w:r>
    </w:p>
    <w:p w:rsidR="004559C6" w:rsidRDefault="00E94B96">
      <w:r>
        <w:t>The data is provided for reproducing the results presented here. Anyone can use these files for noncommercial academic research only. If you want to make a buck off of these files get in touch and we will talk. We would appreciate a short description of what you are planning to do with the data.  If you feel that this data set is a major contribution to your research, we would like to be coauthor on any manuscript. If the data is being included in a published manuscript, we would like to see a preprint before submission to make sure the data description is correct.</w:t>
      </w:r>
    </w:p>
    <w:p w:rsidR="004559C6" w:rsidRDefault="004559C6">
      <w:pPr>
        <w:rPr>
          <w:lang w:val="en-GB"/>
        </w:rPr>
      </w:pPr>
    </w:p>
    <w:p w:rsidR="004559C6" w:rsidRDefault="00E94B96">
      <w:pPr>
        <w:rPr>
          <w:lang w:val="en-GB"/>
        </w:rPr>
      </w:pPr>
      <w:r>
        <w:rPr>
          <w:b/>
          <w:bCs/>
          <w:lang w:val="en-GB"/>
        </w:rPr>
        <w:t>Supporting information consists of a compressed file with the following information:</w:t>
      </w:r>
    </w:p>
    <w:p w:rsidR="004559C6" w:rsidRDefault="00E94B96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Description of observed concentration data for model validation</w:t>
      </w:r>
    </w:p>
    <w:p w:rsidR="004559C6" w:rsidRDefault="00E94B96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Model code</w:t>
      </w:r>
    </w:p>
    <w:p w:rsidR="00E94B96" w:rsidRDefault="00E94B96" w:rsidP="00E94B96">
      <w:pPr>
        <w:pStyle w:val="Lijstalinea"/>
        <w:numPr>
          <w:ilvl w:val="0"/>
          <w:numId w:val="1"/>
        </w:numPr>
        <w:jc w:val="left"/>
        <w:rPr>
          <w:lang w:val="en-GB"/>
        </w:rPr>
      </w:pPr>
      <w:r>
        <w:rPr>
          <w:lang w:val="en-GB"/>
        </w:rPr>
        <w:lastRenderedPageBreak/>
        <w:t>Model input data for the year 2000</w:t>
      </w:r>
    </w:p>
    <w:p w:rsidR="00FC51DC" w:rsidRDefault="00FC51DC" w:rsidP="00E94B96">
      <w:pPr>
        <w:pStyle w:val="Lijstalinea"/>
        <w:numPr>
          <w:ilvl w:val="0"/>
          <w:numId w:val="1"/>
        </w:numPr>
        <w:jc w:val="left"/>
        <w:rPr>
          <w:lang w:val="en-GB"/>
        </w:rPr>
      </w:pPr>
      <w:r>
        <w:rPr>
          <w:lang w:val="en-GB"/>
        </w:rPr>
        <w:t>Excel file ‘data_all_figures.xlsx’ with all information to reproduce the figures.</w:t>
      </w:r>
    </w:p>
    <w:p w:rsidR="00FC51DC" w:rsidRDefault="00FC51DC" w:rsidP="00FC51DC">
      <w:pPr>
        <w:pStyle w:val="Lijstalinea"/>
        <w:numPr>
          <w:ilvl w:val="0"/>
          <w:numId w:val="1"/>
        </w:numPr>
        <w:rPr>
          <w:lang w:val="en-GB"/>
        </w:rPr>
      </w:pPr>
      <w:r w:rsidRPr="00FC51DC">
        <w:rPr>
          <w:lang w:val="en-GB"/>
        </w:rPr>
        <w:t>Comparison of modelled and observed N and P concentrations for all individual stations in the EEA database used in this paper (see Figure 10 in main text for aggregated results).</w:t>
      </w:r>
    </w:p>
    <w:p w:rsidR="00171DB4" w:rsidRPr="00FC51DC" w:rsidRDefault="00171DB4" w:rsidP="00171DB4">
      <w:pPr>
        <w:pStyle w:val="Lijstalinea"/>
        <w:numPr>
          <w:ilvl w:val="0"/>
          <w:numId w:val="1"/>
        </w:numPr>
        <w:rPr>
          <w:lang w:val="en-GB"/>
        </w:rPr>
      </w:pPr>
      <w:r w:rsidRPr="00FC51DC">
        <w:rPr>
          <w:lang w:val="en-GB"/>
        </w:rPr>
        <w:t xml:space="preserve">Comparison of modelled and observed </w:t>
      </w:r>
      <w:r w:rsidRPr="00171DB4">
        <w:rPr>
          <w:lang w:val="en-GB"/>
        </w:rPr>
        <w:t xml:space="preserve">N </w:t>
      </w:r>
      <w:r>
        <w:rPr>
          <w:lang w:val="en-GB"/>
        </w:rPr>
        <w:t xml:space="preserve">and P </w:t>
      </w:r>
      <w:r w:rsidRPr="00171DB4">
        <w:rPr>
          <w:lang w:val="en-GB"/>
        </w:rPr>
        <w:t xml:space="preserve">concentrations, </w:t>
      </w:r>
      <w:r>
        <w:rPr>
          <w:lang w:val="en-GB"/>
        </w:rPr>
        <w:t xml:space="preserve">load and </w:t>
      </w:r>
      <w:r w:rsidRPr="00171DB4">
        <w:rPr>
          <w:lang w:val="en-GB"/>
        </w:rPr>
        <w:t>discharge</w:t>
      </w:r>
      <w:r>
        <w:rPr>
          <w:lang w:val="en-GB"/>
        </w:rPr>
        <w:t xml:space="preserve"> is plotted</w:t>
      </w:r>
      <w:r w:rsidRPr="00171DB4">
        <w:rPr>
          <w:lang w:val="en-GB"/>
        </w:rPr>
        <w:t xml:space="preserve"> for 11 stations in the Mississippi river, Ohio river, Red river, Missouri river and Arkansas river. Measurement frequency ranges from 28 per year to 3. Years with less than 6 observations were excluded</w:t>
      </w:r>
      <w:r>
        <w:rPr>
          <w:lang w:val="en-GB"/>
        </w:rPr>
        <w:t xml:space="preserve"> (USGS_comparison.zip) (see Table 4 in the main text for the RMSE per station)</w:t>
      </w:r>
      <w:r w:rsidRPr="00171DB4">
        <w:rPr>
          <w:lang w:val="en-GB"/>
        </w:rPr>
        <w:t>.</w:t>
      </w:r>
    </w:p>
    <w:p w:rsidR="00E94B96" w:rsidRDefault="00E94B96" w:rsidP="00E94B96">
      <w:pPr>
        <w:jc w:val="left"/>
        <w:rPr>
          <w:lang w:val="en-GB"/>
        </w:rPr>
      </w:pPr>
    </w:p>
    <w:p w:rsidR="00E94B96" w:rsidRDefault="00E94B96" w:rsidP="00E94B96">
      <w:pPr>
        <w:jc w:val="left"/>
        <w:rPr>
          <w:lang w:val="en-GB"/>
        </w:rPr>
      </w:pPr>
      <w:r>
        <w:rPr>
          <w:lang w:val="en-GB"/>
        </w:rPr>
        <w:t>The directory tree of the decompressed files is presented below.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.</w:t>
      </w:r>
    </w:p>
    <w:p w:rsidR="000E3562" w:rsidRDefault="000E3562" w:rsidP="000E3562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├── data_all_figures.xlsx</w:t>
      </w:r>
    </w:p>
    <w:p w:rsidR="000E3562" w:rsidRDefault="000E3562" w:rsidP="000E3562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├── </w:t>
      </w:r>
      <w:r w:rsidRPr="000E3562">
        <w:rPr>
          <w:rFonts w:ascii="Courier" w:eastAsia="Courier" w:hAnsi="Courier" w:cs="Courier"/>
          <w:szCs w:val="24"/>
          <w:u w:val="single"/>
        </w:rPr>
        <w:t>EEA_river_plots</w:t>
      </w:r>
      <w:r>
        <w:rPr>
          <w:rFonts w:ascii="Courier" w:eastAsia="Courier" w:hAnsi="Courier" w:cs="Courier"/>
          <w:szCs w:val="24"/>
          <w:u w:val="single"/>
        </w:rPr>
        <w:t>.zip</w:t>
      </w:r>
    </w:p>
    <w:p w:rsidR="00171DB4" w:rsidRDefault="00171DB4" w:rsidP="00171DB4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├── </w:t>
      </w:r>
      <w:r>
        <w:rPr>
          <w:rFonts w:ascii="Courier" w:eastAsia="Courier" w:hAnsi="Courier" w:cs="Courier"/>
          <w:szCs w:val="24"/>
          <w:u w:val="single"/>
        </w:rPr>
        <w:t>USGS_comparison</w:t>
      </w:r>
      <w:r>
        <w:rPr>
          <w:rFonts w:ascii="Courier" w:eastAsia="Courier" w:hAnsi="Courier" w:cs="Courier"/>
          <w:szCs w:val="24"/>
          <w:u w:val="single"/>
        </w:rPr>
        <w:t>.zip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fix_input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Bd-agg.map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glwd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grid10.asc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grid11.asc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grid12.asc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grid1.asc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grid2.asc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grid3.asc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grid4.asc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grid6.asc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grid7.asc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grid8.asc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└── grid9.asc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gnpp.asc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isric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d_drain.map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d_oc_t.map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d_txt_t.map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s_drain.map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s_oc_t.map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s_ph_t.map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s_txt_t.map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tawcd.map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│   └──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tawcs.map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litho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grid10.asc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lastRenderedPageBreak/>
        <w:t>│   │   ├── grid11.asc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grid12.asc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grid13.asc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grid14.asc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grid15.asc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grid16.asc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grid17.asc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grid18.asc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grid19.asc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grid1.asc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grid2.asc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grid3.asc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grid4.asc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grid6.asc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grid7.asc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grid8.asc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grid9.asc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│   └──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nodatgrid.asc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Pcontent.asc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slope.map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soil_shield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grid1.asc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grid2.asc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├── grid3.asc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│   └── grid4.asc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└──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texture_erosion.vat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generalcode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└── trunk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accuflux.py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aggregate.py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allocranking.py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allocweighing.py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areacell.py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ascbitmap.py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ascraster.py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cmd_options_general.py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collect_output.py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colorset_general.txt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discharge.py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error.py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excel.py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general_class.py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get_column_of_excel.py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get_file_info.py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get_sheet_of_excel.py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get_versioninfo.py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hydraulic_load.py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interpolate.py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iround.py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litho_class.py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lu_area.py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make_balance_total.py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lastRenderedPageBreak/>
        <w:t>│       ├── make_colortable.py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make_dict_lake.py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make_fraction.py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mouth.py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my_logging.py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my_sys.py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readexcel.py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residence_time.py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showimage.py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showimg.py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simpson.py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subgrid_retention.py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travel_load.py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unffile.py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water_specs.py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└── write_dict.py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bookmarkStart w:id="1" w:name="__DdeLink__1213_1355391363"/>
      <w:r>
        <w:rPr>
          <w:rFonts w:ascii="Courier" w:eastAsia="Courier" w:hAnsi="Courier" w:cs="Courier"/>
          <w:szCs w:val="24"/>
          <w:u w:val="single"/>
        </w:rPr>
        <w:t>├──</w:t>
      </w:r>
      <w:bookmarkEnd w:id="1"/>
      <w:r>
        <w:rPr>
          <w:rFonts w:ascii="Courier" w:eastAsia="Courier" w:hAnsi="Courier" w:cs="Courier"/>
          <w:szCs w:val="24"/>
          <w:u w:val="single"/>
        </w:rPr>
        <w:t xml:space="preserve"> GMDD_beusen_supplement_cover_letter.docx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├── GMDD_beusen_description_of_measurement_data.docx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N_model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└── trunk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└── tools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accuflux_retention.py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cmd_options_n.py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history.ini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n_deposition.py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n_erosion.py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n_gnpp.py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n_groundwater.py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N-model.py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nmouth.py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n_nowater.py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nretention.py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n_soil_denitrification.py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n_surface_runoff.py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n_wetlands.py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parameters_history_100.ini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└── sgd.py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├── output_history_110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P_model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└── trunk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└── tools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accuflux_retention.py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cmd_options_p.py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erosion.py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history.ini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parameters_history_100.ini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pbackground.py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p_gnpp.py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P-model.py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pmouth.py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pretention.py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p_surface_runoff.py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└── p_wetlands.py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├── README.TXT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lastRenderedPageBreak/>
        <w:t xml:space="preserve">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scen_input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└── history_110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├── 2000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balance_N-NH3_arable.asc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balance_N-NH3_grs.asc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balance_N-NH3_nat.asc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   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balance_p_arable.asc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   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balance_p_grs.asc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   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balance_p_nat.asc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   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cropmixp.asc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   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croppasp.asc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   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grasmixp.asc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   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graspasp.asc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   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landarea.asc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   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N_aquaculture.asc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   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ndeposition.asc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   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Npoint.asc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   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P_aquaculture.asc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   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Ppoint.asc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   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uptake_n_arable.asc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   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uptake_n_grs.asc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   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uptake_p_arable.asc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    │   └──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uptake_p_grs.asc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   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n_histdir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Nleaching_1700.asc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Nleaching_1900.asc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Nleaching_1905.asc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Nleaching_1910.asc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Nleaching_1915.asc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Nleaching_1920.asc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Nleaching_1925.asc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Nleaching_1930.asc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Nleaching_1935.asc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Nleaching_1940.asc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Nleaching_1945.asc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Nleaching_1950.asc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Nleaching_1955.asc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Nleaching_1960.asc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Nleaching_1965.asc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Nleaching_1970.asc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Nleaching_1971.asc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Nleaching_1972.asc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Nleaching_1973.asc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Nleaching_1974.asc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Nleaching_1975.asc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Nleaching_1976.asc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Nleaching_1977.asc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Nleaching_1978.asc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Nleaching_1979.asc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Nleaching_1980.asc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Nleaching_1981.asc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Nleaching_1982.asc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Nleaching_1983.asc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Nleaching_1984.asc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lastRenderedPageBreak/>
        <w:t>│       │   ├── Nleaching_1985.asc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Nleaching_1986.asc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Nleaching_1987.asc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Nleaching_1988.asc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Nleaching_1989.asc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Nleaching_1990.asc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Nleaching_1991.asc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Nleaching_1992.asc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Nleaching_1993.asc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Nleaching_1994.asc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Nleaching_1995.asc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Nleaching_1996.asc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Nleaching_1997.asc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Nleaching_1998.asc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Nleaching_1999.asc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Nleaching_2000.asc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N_top_dgrw_1700.asc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N_top_dgrw_1900.asc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N_top_dgrw_1905.asc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N_top_dgrw_1910.asc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N_top_dgrw_1915.asc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N_top_dgrw_1920.asc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N_top_dgrw_1925.asc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N_top_dgrw_1930.asc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N_top_dgrw_1935.asc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N_top_dgrw_1940.asc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N_top_dgrw_1945.asc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N_top_dgrw_1950.asc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N_top_dgrw_1955.asc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N_top_dgrw_1960.asc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N_top_dgrw_1965.asc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N_top_dgrw_1970.asc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N_top_dgrw_1971.asc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N_top_dgrw_1972.asc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N_top_dgrw_1973.asc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N_top_dgrw_1974.asc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N_top_dgrw_1975.asc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N_top_dgrw_1976.asc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N_top_dgrw_1977.asc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N_top_dgrw_1978.asc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N_top_dgrw_1979.asc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N_top_dgrw_1980.asc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N_top_dgrw_1981.asc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N_top_dgrw_1982.asc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N_top_dgrw_1983.asc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N_top_dgrw_1984.asc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N_top_dgrw_1985.asc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N_top_dgrw_1986.asc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N_top_dgrw_1987.asc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N_top_dgrw_1988.asc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N_top_dgrw_1989.asc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N_top_dgrw_1990.asc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N_top_dgrw_1991.asc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N_top_dgrw_1992.asc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lastRenderedPageBreak/>
        <w:t>│       │   ├── N_top_dgrw_1993.asc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N_top_dgrw_1994.asc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N_top_dgrw_1995.asc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N_top_dgrw_1996.asc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N_top_dgrw_1997.asc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N_top_dgrw_1998.asc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├── N_top_dgrw_1999.asc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│   └── N_top_dgrw_2000.asc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│       └──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p_histdir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P_bal_total_1900.asc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P_bal_total_1905.asc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P_bal_total_1910.asc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P_bal_total_1915.asc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P_bal_total_1920.asc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P_bal_total_1925.asc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P_bal_total_1930.asc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P_bal_total_1935.asc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P_bal_total_1940.asc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P_bal_total_1945.asc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P_bal_total_1950.asc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P_bal_total_1955.asc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P_bal_total_1960.asc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P_bal_total_1965.asc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P_bal_total_1970.asc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P_bal_total_1971.asc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P_bal_total_1972.asc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P_bal_total_1973.asc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P_bal_total_1974.asc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P_bal_total_1975.asc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P_bal_total_1976.asc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P_bal_total_1977.asc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P_bal_total_1978.asc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P_bal_total_1979.asc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P_bal_total_1980.asc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P_bal_total_1981.asc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P_bal_total_1982.asc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P_bal_total_1983.asc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P_bal_total_1984.asc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P_bal_total_1985.asc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P_bal_total_1986.asc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P_bal_total_1987.asc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P_bal_total_1988.asc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P_bal_total_1989.asc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P_bal_total_1990.asc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P_bal_total_1991.asc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P_bal_total_1992.asc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P_bal_total_1993.asc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P_bal_total_1994.asc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P_bal_total_1995.asc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P_bal_total_1996.asc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P_bal_total_1997.asc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P_bal_total_1998.asc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P_bal_total_1999.asc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P_bal_total_2000.asc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lastRenderedPageBreak/>
        <w:t>│           ├── Pcontent_1900.asc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Pcontent_1905.asc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Pcontent_1910.asc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Pcontent_1915.asc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Pcontent_1920.asc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Pcontent_1925.asc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Pcontent_1930.asc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Pcontent_1935.asc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Pcontent_1940.asc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Pcontent_1945.asc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Pcontent_1950.asc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Pcontent_1955.asc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Pcontent_1960.asc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Pcontent_1965.asc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Pcontent_1970.asc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Pcontent_1971.asc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Pcontent_1972.asc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Pcontent_1973.asc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Pcontent_1974.asc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Pcontent_1975.asc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Pcontent_1976.asc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Pcontent_1977.asc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Pcontent_1978.asc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Pcontent_1979.asc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Pcontent_1980.asc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Pcontent_1981.asc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Pcontent_1982.asc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Pcontent_1983.asc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Pcontent_1984.asc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Pcontent_1985.asc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Pcontent_1986.asc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Pcontent_1987.asc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Pcontent_1988.asc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Pcontent_1989.asc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Pcontent_1990.asc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Pcontent_1991.asc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Pcontent_1992.asc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Pcontent_1993.asc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Pcontent_1994.asc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Pcontent_1995.asc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Pcontent_1996.asc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Pcontent_1997.asc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Pcontent_1998.asc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Pcontent_1999.asc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Pcontent_2000.asc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Psoilloss_agri_1900.asc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Psoilloss_agri_1905.asc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Psoilloss_agri_1910.asc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Psoilloss_agri_1915.asc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Psoilloss_agri_1920.asc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Psoilloss_agri_1925.asc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Psoilloss_agri_1930.asc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Psoilloss_agri_1935.asc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Psoilloss_agri_1940.asc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lastRenderedPageBreak/>
        <w:t>│           ├── Psoilloss_agri_1945.asc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Psoilloss_agri_1950.asc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Psoilloss_agri_1955.asc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Psoilloss_agri_1960.asc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Psoilloss_agri_1965.asc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Psoilloss_agri_1970.asc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Psoilloss_agri_1971.asc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Psoilloss_agri_1972.asc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Psoilloss_agri_1973.asc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Psoilloss_agri_1974.asc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Psoilloss_agri_1975.asc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Psoilloss_agri_1976.asc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Psoilloss_agri_1977.asc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Psoilloss_agri_1978.asc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Psoilloss_agri_1979.asc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Psoilloss_agri_1980.asc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Psoilloss_agri_1981.asc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Psoilloss_agri_1982.asc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Psoilloss_agri_1983.asc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Psoilloss_agri_1984.asc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Psoilloss_agri_1985.asc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Psoilloss_agri_1986.asc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Psoilloss_agri_1987.asc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Psoilloss_agri_1988.asc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Psoilloss_agri_1989.asc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Psoilloss_agri_1990.asc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Psoilloss_agri_1991.asc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Psoilloss_agri_1992.asc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Psoilloss_agri_1993.asc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Psoilloss_agri_1994.asc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Psoilloss_agri_1995.asc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Psoilloss_agri_1996.asc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Psoilloss_agri_1997.asc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Psoilloss_agri_1998.asc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├── Psoilloss_agri_1999.asc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>│           └── Psoilloss_agri_2000.asc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└──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water_input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    └── pcrglobwb_100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        ├── 2000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       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endo_waterbodyid.asc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       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fldd.asc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       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fldf.asc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       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fracwat.asc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       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qc.asc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       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runoff.asc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       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swarea.asc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       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temperature.asc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       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waterbodyid.asc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       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waterbodyoutlet.asc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       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wld.asc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       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wlf.asc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        │  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wlq.asc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        │   └──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wst.asc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       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basin.map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lastRenderedPageBreak/>
        <w:t xml:space="preserve">        ├── cellarea30.asc</w:t>
      </w:r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       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coast_distance.asc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       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fqgw.map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       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fQsro.map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        ├── </w:t>
      </w:r>
      <w:proofErr w:type="spellStart"/>
      <w:r>
        <w:rPr>
          <w:rFonts w:ascii="Courier" w:eastAsia="Courier" w:hAnsi="Courier" w:cs="Courier"/>
          <w:szCs w:val="24"/>
          <w:u w:val="single"/>
        </w:rPr>
        <w:t>ldd.map</w:t>
      </w:r>
      <w:proofErr w:type="spellEnd"/>
    </w:p>
    <w:p w:rsidR="004559C6" w:rsidRDefault="00E94B96">
      <w:pPr>
        <w:spacing w:before="0" w:line="240" w:lineRule="auto"/>
        <w:jc w:val="left"/>
        <w:rPr>
          <w:rFonts w:ascii="Courier" w:eastAsia="Courier" w:hAnsi="Courier" w:cs="Courier"/>
          <w:szCs w:val="24"/>
          <w:u w:val="single"/>
        </w:rPr>
      </w:pPr>
      <w:r>
        <w:rPr>
          <w:rFonts w:ascii="Courier" w:eastAsia="Courier" w:hAnsi="Courier" w:cs="Courier"/>
          <w:szCs w:val="24"/>
          <w:u w:val="single"/>
        </w:rPr>
        <w:t xml:space="preserve">        └── mouth.txt</w:t>
      </w:r>
    </w:p>
    <w:p w:rsidR="004559C6" w:rsidRDefault="004559C6">
      <w:pPr>
        <w:spacing w:before="0" w:line="240" w:lineRule="auto"/>
        <w:jc w:val="left"/>
      </w:pPr>
    </w:p>
    <w:sectPr w:rsidR="004559C6">
      <w:pgSz w:w="12240" w:h="15840"/>
      <w:pgMar w:top="1440" w:right="1440" w:bottom="1440" w:left="1440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enQuanYi Zen Hei Sharp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Lohit Devanagari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3A5"/>
    <w:multiLevelType w:val="multilevel"/>
    <w:tmpl w:val="A8BEF8E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34C6B94"/>
    <w:multiLevelType w:val="multilevel"/>
    <w:tmpl w:val="CF3A70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59C6"/>
    <w:rsid w:val="000E3562"/>
    <w:rsid w:val="00171DB4"/>
    <w:rsid w:val="004559C6"/>
    <w:rsid w:val="00E94B96"/>
    <w:rsid w:val="00FC5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WenQuanYi Zen Hei Sharp" w:hAnsi="Calibri" w:cs="Times New Roman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26069"/>
    <w:pPr>
      <w:suppressAutoHyphens/>
      <w:spacing w:before="120" w:line="360" w:lineRule="auto"/>
      <w:jc w:val="both"/>
    </w:pPr>
    <w:rPr>
      <w:rFonts w:ascii="Times New Roman" w:eastAsia="Times New Roman" w:hAnsi="Times New Roman"/>
      <w:color w:val="000000"/>
      <w:sz w:val="24"/>
      <w:szCs w:val="20"/>
      <w:lang w:val="en-US" w:eastAsia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customStyle="1" w:styleId="TextBody">
    <w:name w:val="Text Body"/>
    <w:basedOn w:val="Standaard"/>
    <w:pPr>
      <w:spacing w:before="0" w:after="140" w:line="288" w:lineRule="auto"/>
    </w:pPr>
  </w:style>
  <w:style w:type="paragraph" w:styleId="Lijst">
    <w:name w:val="List"/>
    <w:basedOn w:val="TextBody"/>
    <w:rPr>
      <w:rFonts w:cs="Lohit Devanagari"/>
    </w:rPr>
  </w:style>
  <w:style w:type="paragraph" w:styleId="Bijschrift">
    <w:name w:val="caption"/>
    <w:basedOn w:val="Standaard"/>
    <w:pPr>
      <w:suppressLineNumbers/>
      <w:spacing w:after="120"/>
    </w:pPr>
    <w:rPr>
      <w:rFonts w:cs="Lohit Devanagari"/>
      <w:i/>
      <w:iCs/>
      <w:szCs w:val="24"/>
    </w:rPr>
  </w:style>
  <w:style w:type="paragraph" w:customStyle="1" w:styleId="Index">
    <w:name w:val="Index"/>
    <w:basedOn w:val="Standaard"/>
    <w:pPr>
      <w:suppressLineNumbers/>
    </w:pPr>
    <w:rPr>
      <w:rFonts w:cs="Lohit Devanagari"/>
    </w:rPr>
  </w:style>
  <w:style w:type="paragraph" w:styleId="Lijstalinea">
    <w:name w:val="List Paragraph"/>
    <w:basedOn w:val="Standaard"/>
    <w:uiPriority w:val="34"/>
    <w:qFormat/>
    <w:rsid w:val="003260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2366</Words>
  <Characters>13018</Characters>
  <Application>Microsoft Office Word</Application>
  <DocSecurity>0</DocSecurity>
  <Lines>108</Lines>
  <Paragraphs>30</Paragraphs>
  <ScaleCrop>false</ScaleCrop>
  <Company>PBL</Company>
  <LinksUpToDate>false</LinksUpToDate>
  <CharactersWithSpaces>15354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Bouwman, Lex</dc:creator>
  <cp:lastModifiedBy>Beusen, Arthur</cp:lastModifiedBy>
  <cp:revision>5</cp:revision>
  <dcterms:created xsi:type="dcterms:W3CDTF">2015-05-29T09:10:00Z</dcterms:created>
  <dcterms:modified xsi:type="dcterms:W3CDTF">2015-11-11T09:14:00Z</dcterms:modified>
  <dc:language>en-GB</dc:language>
</cp:coreProperties>
</file>