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8BB1B" w14:textId="613018E5" w:rsidR="00E26A40" w:rsidRDefault="00E26A40" w:rsidP="00E26A40">
      <w:pPr>
        <w:tabs>
          <w:tab w:val="left" w:pos="5371"/>
        </w:tabs>
      </w:pPr>
      <w:r>
        <w:t>Text S1</w:t>
      </w:r>
    </w:p>
    <w:p w14:paraId="3543ED9D" w14:textId="77777777" w:rsidR="00E26A40" w:rsidRDefault="00E26A40" w:rsidP="00E26A40">
      <w:pPr>
        <w:tabs>
          <w:tab w:val="left" w:pos="5371"/>
        </w:tabs>
      </w:pPr>
    </w:p>
    <w:p w14:paraId="545ECA15" w14:textId="77777777" w:rsidR="00E26A40" w:rsidRPr="00AD665A" w:rsidRDefault="00E26A40" w:rsidP="00E26A40">
      <w:pPr>
        <w:rPr>
          <w:b/>
          <w:bCs/>
          <w:sz w:val="20"/>
          <w:szCs w:val="20"/>
        </w:rPr>
      </w:pPr>
      <w:r w:rsidRPr="00AD665A">
        <w:rPr>
          <w:b/>
          <w:bCs/>
          <w:sz w:val="20"/>
          <w:szCs w:val="20"/>
        </w:rPr>
        <w:t xml:space="preserve">The Effect of Volcanic sulfate aerosols in PI Control </w:t>
      </w:r>
    </w:p>
    <w:p w14:paraId="537B73B6" w14:textId="77777777" w:rsidR="00E26A40" w:rsidRPr="006A5B69" w:rsidRDefault="00E26A40" w:rsidP="00E26A40">
      <w:pPr>
        <w:rPr>
          <w:sz w:val="20"/>
          <w:szCs w:val="20"/>
        </w:rPr>
      </w:pPr>
      <w:r w:rsidRPr="006A5B69">
        <w:rPr>
          <w:sz w:val="20"/>
          <w:szCs w:val="20"/>
        </w:rPr>
        <w:t xml:space="preserve">The PI control simulation is designed to establish the baseline climate for historical transient simulations </w:t>
      </w:r>
      <w:r w:rsidRPr="006A5B69">
        <w:rPr>
          <w:sz w:val="20"/>
          <w:szCs w:val="20"/>
        </w:rPr>
        <w:fldChar w:fldCharType="begin"/>
      </w:r>
      <w:r>
        <w:rPr>
          <w:sz w:val="20"/>
          <w:szCs w:val="20"/>
        </w:rPr>
        <w:instrText xml:space="preserve"> ADDIN ZOTERO_ITEM CSL_CITATION {"citationID":"kEhzipgY","properties":{"formattedCitation":"(Schmidt et al., 2012)","plainCitation":"(Schmidt et al., 2012)","noteIndex":0},"citationItems":[{"id":1357,"uris":["http://zotero.org/users/7191712/items/WG2W42KE"],"itemData":{"id":1357,"type":"article-journal","abstract":"Observations and models have shown that continuously degassing volcanoes have a potentially large effect on the natural background aerosol loading and the radiative state of the atmosphere. We use a global aerosol microphysics model to quantify the impact of these volcanic emissions on the cloud albedo radiative forcing under pre-industrial (PI) and present-day (PD) conditions. We find that volcanic degassing increases global annual mean cloud droplet number concentrations by 40% under PI conditions, but by only 10% under PD conditions. Consequently, volcanic degassing causes a global annual mean cloud albedo effect of −1.06 W m−2 in the PI era but only −0.56 W m−2 in the PD era. This non-equal effect is explained partly by the lower background aerosol concentrations in the PI era, but also because more aerosol particles are produced per unit of volcanic sulphur emission in the PI atmosphere. The higher sensitivity of the PI atmosphere to volcanic emissions has an important consequence for the anthropogenic cloud radiative forcing because the large uncertainty in volcanic emissions translates into an uncertainty in the PI baseline cloud radiative state. Assuming a −50/+100% uncertainty range in the volcanic sulphur flux, we estimate the annual mean anthropogenic cloud albedo forcing to lie between −1.16 W m−2 and −0.86 W m−2. Therefore, the volcanically induced uncertainty in the PI baseline cloud radiative state substantially adds to the already large uncertainty in the magnitude of the indirect radiative forcing of climate.","container-title":"Atmospheric Chemistry and Physics","DOI":"10.5194/acp-12-7321-2012","ISSN":"1680-7316","issue":"16","language":"English","note":"publisher: Copernicus GmbH","page":"7321-7339","source":"Copernicus Online Journals","title":"Importance of tropospheric volcanic aerosol for indirect radiative forcing of climate","volume":"12","author":[{"family":"Schmidt","given":"A."},{"family":"Carslaw","given":"K. S."},{"family":"Mann","given":"G. W."},{"family":"Rap","given":"A."},{"family":"Pringle","given":"K. J."},{"family":"Spracklen","given":"D. V."},{"family":"Wilson","given":"M."},{"family":"Forster","given":"P. M."}],"issued":{"date-parts":[["2012",8,16]]}}}],"schema":"https://github.com/citation-style-language/schema/raw/master/csl-citation.json"} </w:instrText>
      </w:r>
      <w:r w:rsidRPr="006A5B69">
        <w:rPr>
          <w:sz w:val="20"/>
          <w:szCs w:val="20"/>
        </w:rPr>
        <w:fldChar w:fldCharType="separate"/>
      </w:r>
      <w:r>
        <w:rPr>
          <w:noProof/>
          <w:sz w:val="20"/>
          <w:szCs w:val="20"/>
        </w:rPr>
        <w:t>(Schmidt et al., 2012)</w:t>
      </w:r>
      <w:r w:rsidRPr="006A5B69">
        <w:rPr>
          <w:sz w:val="20"/>
          <w:szCs w:val="20"/>
        </w:rPr>
        <w:fldChar w:fldCharType="end"/>
      </w:r>
      <w:r w:rsidRPr="006A5B69">
        <w:rPr>
          <w:sz w:val="20"/>
          <w:szCs w:val="20"/>
        </w:rPr>
        <w:t xml:space="preserve">. In this study, V2-IVA-NPI ensemble experiments are conducted to explore the effect of </w:t>
      </w:r>
      <w:r>
        <w:rPr>
          <w:sz w:val="20"/>
          <w:szCs w:val="20"/>
        </w:rPr>
        <w:t>volcanic sulfate aerosol</w:t>
      </w:r>
      <w:r w:rsidRPr="006A5B69">
        <w:rPr>
          <w:sz w:val="20"/>
          <w:szCs w:val="20"/>
        </w:rPr>
        <w:t xml:space="preserve">s in the PI-control configuration on simulated historical climate (Table 3). The hypothesis is that without including historical averaged </w:t>
      </w:r>
      <w:r>
        <w:rPr>
          <w:sz w:val="20"/>
          <w:szCs w:val="20"/>
        </w:rPr>
        <w:t>volcanic sulfate aerosol</w:t>
      </w:r>
      <w:r w:rsidRPr="006A5B69">
        <w:rPr>
          <w:sz w:val="20"/>
          <w:szCs w:val="20"/>
        </w:rPr>
        <w:t xml:space="preserve">s in the PI control, the additional sulfate aerosol emissions from historical volcanic eruptions would contribute to enhancing aerosol-cloud interactions and cooling of the climate. Additionally, without the inclusion of </w:t>
      </w:r>
      <w:r>
        <w:rPr>
          <w:sz w:val="20"/>
          <w:szCs w:val="20"/>
        </w:rPr>
        <w:t>volcanic sulfate aerosol</w:t>
      </w:r>
      <w:r w:rsidRPr="006A5B69">
        <w:rPr>
          <w:sz w:val="20"/>
          <w:szCs w:val="20"/>
        </w:rPr>
        <w:t xml:space="preserve">s in the PI control, the volcanic quiescent warming and surplus cooling effects cannot be represented. The V2-IVA-NPI experiment replicates the setup of the V2-IVA experiment, but it omits the historical averaged explosive </w:t>
      </w:r>
      <w:r>
        <w:rPr>
          <w:sz w:val="20"/>
          <w:szCs w:val="20"/>
        </w:rPr>
        <w:t>volcanic sulfate aerosol</w:t>
      </w:r>
      <w:r w:rsidRPr="006A5B69">
        <w:rPr>
          <w:sz w:val="20"/>
          <w:szCs w:val="20"/>
        </w:rPr>
        <w:t>s in the V2-IVA-NPI's PI control run, which serves as the initial condition for the V2-IVA-NPI's historical run. Although both V2-IVA and V2-IVA-NPI experiments have the identical emissions in the historical run, we anticipate that the anomaly in V2-IVA-NPI, relatives to its 1850-1899 climatology, result in more low clouds, an enhancement of cooling via aerosol-cloud interactions, and a cooler climate compared to its V2-IVA counterpart.</w:t>
      </w:r>
    </w:p>
    <w:p w14:paraId="4212FAD0" w14:textId="77777777" w:rsidR="00E26A40" w:rsidRPr="006A5B69" w:rsidRDefault="00E26A40" w:rsidP="00E26A40">
      <w:pPr>
        <w:rPr>
          <w:sz w:val="20"/>
          <w:szCs w:val="20"/>
        </w:rPr>
      </w:pPr>
      <w:r w:rsidRPr="006A5B69">
        <w:rPr>
          <w:sz w:val="20"/>
          <w:szCs w:val="20"/>
        </w:rPr>
        <w:t xml:space="preserve">  </w:t>
      </w:r>
    </w:p>
    <w:p w14:paraId="6D2CD467" w14:textId="77777777" w:rsidR="00E26A40" w:rsidRDefault="00E26A40" w:rsidP="00E26A40">
      <w:pPr>
        <w:rPr>
          <w:sz w:val="20"/>
          <w:szCs w:val="20"/>
        </w:rPr>
      </w:pPr>
      <w:r w:rsidRPr="006A5B69">
        <w:rPr>
          <w:sz w:val="20"/>
          <w:szCs w:val="20"/>
        </w:rPr>
        <w:t>Table S</w:t>
      </w:r>
      <w:r>
        <w:rPr>
          <w:sz w:val="20"/>
          <w:szCs w:val="20"/>
        </w:rPr>
        <w:t>1</w:t>
      </w:r>
      <w:r w:rsidRPr="006A5B69">
        <w:rPr>
          <w:sz w:val="20"/>
          <w:szCs w:val="20"/>
        </w:rPr>
        <w:t xml:space="preserve"> presents a comparison between the V2-IVA and V2-IVA-NPI experiments. During the 1940-1959 period, both V2-IVA and V2-IVA-NPI show an increase in low cloud anomaly compared to their 1850-1899 climatology. Notably, the increase in low cloud fraction in V2-IVA-NPI has been significantly higher than that in V2-IVA. Additionally, the V2-IVA-NPI simulation has simulated a larger liquid water path anomaly, compared to that in V2-IVA. Consequently, the net cloud forcing anomaly in V2-IVA-NPI is 0.10 W/m² cooler than that in V2-IVA, indicating a cooling from aerosol-cloud interactions. Furthermore, the V2-IVA-NPI simulation exhibits a temperature anomaly that is 0.09 K cooler than that in V2-IVA, which is statistically significant. A similar, albeit less pronounced, pattern is observed during the 1960-1979 period, with V2-IVA-NPI simulating a cooler climate compared to that in V2-IVA. In general, the results are qualitatively agree with previous study about the importance of the </w:t>
      </w:r>
      <w:r>
        <w:rPr>
          <w:sz w:val="20"/>
          <w:szCs w:val="20"/>
        </w:rPr>
        <w:t>volcanic sulfate aerosol</w:t>
      </w:r>
      <w:r w:rsidRPr="006A5B69">
        <w:rPr>
          <w:sz w:val="20"/>
          <w:szCs w:val="20"/>
        </w:rPr>
        <w:t xml:space="preserve">s in PI control simulation </w:t>
      </w:r>
      <w:r w:rsidRPr="006A5B69">
        <w:rPr>
          <w:sz w:val="20"/>
          <w:szCs w:val="20"/>
        </w:rPr>
        <w:fldChar w:fldCharType="begin"/>
      </w:r>
      <w:r>
        <w:rPr>
          <w:sz w:val="20"/>
          <w:szCs w:val="20"/>
        </w:rPr>
        <w:instrText xml:space="preserve"> ADDIN ZOTERO_ITEM CSL_CITATION {"citationID":"bOWlRg5q","properties":{"formattedCitation":"(Chim et al., 2023; Schmidt et al., 2012)","plainCitation":"(Chim et al., 2023; Schmidt et al., 2012)","noteIndex":0},"citationItems":[{"id":1548,"uris":["http://zotero.org/users/7191712/items/NBXTZPIQ"],"itemData":{"id":1548,"type":"article-journal","abstract":"Standard climate projections represent future volcanic eruptions by a constant forcing inferred from 1850 to 2014 volcanic forcing. Using the latest ice-core and satellite records to design stochastic eruption scenarios, we show that there is a 95% probability that explosive eruptions could emit more sulfur dioxide (SO2) into the stratosphere over 2015–2100 than current standard climate projections (i.e., ScenarioMIP). Our simulations using the UK Earth System Model with interactive stratospheric aerosols show that for a median future eruption scenario, the 2015–2100 average global-mean stratospheric aerosol optical depth (SAOD) is double that used in ScenarioMIP, with small-magnitude eruptions (&lt;3 Tg of SO2) contributing 50% to SAOD perturbations. We show that volcanic effects on large-scale climate indicators, including global surface temperature, sea level and sea ice extent, are underestimated in ScenarioMIP because current climate projections do not fully account for the recurrent frequency of volcanic eruptions of different magnitudes.","container-title":"Geophysical Research Letters","DOI":"10.1029/2023GL103743","ISSN":"1944-8007","issue":"12","language":"en","note":"_eprint: https://onlinelibrary.wiley.com/doi/pdf/10.1029/2023GL103743","page":"e2023GL103743","source":"Wiley Online Library","title":"Climate Projections Very Likely Underestimate Future Volcanic Forcing and Its Climatic Effects","volume":"50","author":[{"family":"Chim","given":"Man Mei"},{"family":"Aubry","given":"Thomas J."},{"family":"Abraham","given":"Nathan Luke"},{"family":"Marshall","given":"Lauren"},{"family":"Mulcahy","given":"Jane"},{"family":"Walton","given":"Jeremy"},{"family":"Schmidt","given":"Anja"}],"issued":{"date-parts":[["2023"]]}}},{"id":1357,"uris":["http://zotero.org/users/7191712/items/WG2W42KE"],"itemData":{"id":1357,"type":"article-journal","abstract":"Observations and models have shown that continuously degassing volcanoes have a potentially large effect on the natural background aerosol loading and the radiative state of the atmosphere. We use a global aerosol microphysics model to quantify the impact of these volcanic emissions on the cloud albedo radiative forcing under pre-industrial (PI) and present-day (PD) conditions. We find that volcanic degassing increases global annual mean cloud droplet number concentrations by 40% under PI conditions, but by only 10% under PD conditions. Consequently, volcanic degassing causes a global annual mean cloud albedo effect of −1.06 W m−2 in the PI era but only −0.56 W m−2 in the PD era. This non-equal effect is explained partly by the lower background aerosol concentrations in the PI era, but also because more aerosol particles are produced per unit of volcanic sulphur emission in the PI atmosphere. The higher sensitivity of the PI atmosphere to volcanic emissions has an important consequence for the anthropogenic cloud radiative forcing because the large uncertainty in volcanic emissions translates into an uncertainty in the PI baseline cloud radiative state. Assuming a −50/+100% uncertainty range in the volcanic sulphur flux, we estimate the annual mean anthropogenic cloud albedo forcing to lie between −1.16 W m−2 and −0.86 W m−2. Therefore, the volcanically induced uncertainty in the PI baseline cloud radiative state substantially adds to the already large uncertainty in the magnitude of the indirect radiative forcing of climate.","container-title":"Atmospheric Chemistry and Physics","DOI":"10.5194/acp-12-7321-2012","ISSN":"1680-7316","issue":"16","language":"English","note":"publisher: Copernicus GmbH","page":"7321-7339","source":"Copernicus Online Journals","title":"Importance of tropospheric volcanic aerosol for indirect radiative forcing of climate","volume":"12","author":[{"family":"Schmidt","given":"A."},{"family":"Carslaw","given":"K. S."},{"family":"Mann","given":"G. W."},{"family":"Rap","given":"A."},{"family":"Pringle","given":"K. J."},{"family":"Spracklen","given":"D. V."},{"family":"Wilson","given":"M."},{"family":"Forster","given":"P. M."}],"issued":{"date-parts":[["2012",8,16]]}}}],"schema":"https://github.com/citation-style-language/schema/raw/master/csl-citation.json"} </w:instrText>
      </w:r>
      <w:r w:rsidRPr="006A5B69">
        <w:rPr>
          <w:sz w:val="20"/>
          <w:szCs w:val="20"/>
        </w:rPr>
        <w:fldChar w:fldCharType="separate"/>
      </w:r>
      <w:r>
        <w:rPr>
          <w:noProof/>
          <w:sz w:val="20"/>
          <w:szCs w:val="20"/>
        </w:rPr>
        <w:t>(Chim et al., 2023; Schmidt et al., 2012)</w:t>
      </w:r>
      <w:r w:rsidRPr="006A5B69">
        <w:rPr>
          <w:sz w:val="20"/>
          <w:szCs w:val="20"/>
        </w:rPr>
        <w:fldChar w:fldCharType="end"/>
      </w:r>
      <w:r w:rsidRPr="006A5B69">
        <w:rPr>
          <w:sz w:val="20"/>
          <w:szCs w:val="20"/>
        </w:rPr>
        <w:t>.</w:t>
      </w:r>
    </w:p>
    <w:p w14:paraId="2FA8C525" w14:textId="77777777" w:rsidR="00E26A40" w:rsidRPr="006A5B69" w:rsidRDefault="00E26A40" w:rsidP="00E26A40">
      <w:pPr>
        <w:rPr>
          <w:sz w:val="20"/>
          <w:szCs w:val="20"/>
        </w:rPr>
      </w:pPr>
    </w:p>
    <w:p w14:paraId="6BDD6143" w14:textId="77777777" w:rsidR="00E26A40" w:rsidRPr="006A5B69" w:rsidRDefault="00E26A40" w:rsidP="00E26A40">
      <w:pPr>
        <w:rPr>
          <w:sz w:val="20"/>
          <w:szCs w:val="20"/>
        </w:rPr>
      </w:pPr>
    </w:p>
    <w:p w14:paraId="6EC04430" w14:textId="77777777" w:rsidR="00E26A40" w:rsidRPr="00E26A40" w:rsidRDefault="00E26A40" w:rsidP="00E26A40">
      <w:pPr>
        <w:rPr>
          <w:sz w:val="20"/>
          <w:szCs w:val="20"/>
        </w:rPr>
      </w:pPr>
      <w:r w:rsidRPr="00E26A40">
        <w:rPr>
          <w:sz w:val="20"/>
          <w:szCs w:val="20"/>
        </w:rPr>
        <w:t>Table S1. Same as Table 4 but for comparison between V2-IVA and V2-IVA-NPI.</w:t>
      </w:r>
    </w:p>
    <w:tbl>
      <w:tblPr>
        <w:tblStyle w:val="TableGrid"/>
        <w:tblW w:w="0" w:type="auto"/>
        <w:tblLook w:val="04A0" w:firstRow="1" w:lastRow="0" w:firstColumn="1" w:lastColumn="0" w:noHBand="0" w:noVBand="1"/>
      </w:tblPr>
      <w:tblGrid>
        <w:gridCol w:w="3116"/>
        <w:gridCol w:w="3117"/>
        <w:gridCol w:w="3117"/>
      </w:tblGrid>
      <w:tr w:rsidR="00E26A40" w:rsidRPr="00E26A40" w14:paraId="6CDE129D" w14:textId="77777777" w:rsidTr="00AD665A">
        <w:tc>
          <w:tcPr>
            <w:tcW w:w="3116" w:type="dxa"/>
          </w:tcPr>
          <w:p w14:paraId="6104C86B" w14:textId="77777777" w:rsidR="00E26A40" w:rsidRPr="00E26A40" w:rsidRDefault="00E26A40" w:rsidP="00AD665A">
            <w:pPr>
              <w:rPr>
                <w:color w:val="000000" w:themeColor="text1"/>
                <w:sz w:val="20"/>
                <w:szCs w:val="20"/>
              </w:rPr>
            </w:pPr>
            <w:r w:rsidRPr="00E26A40">
              <w:rPr>
                <w:color w:val="000000" w:themeColor="text1"/>
                <w:sz w:val="20"/>
                <w:szCs w:val="20"/>
              </w:rPr>
              <w:t>V2-IVA - V2-IVA-NPI</w:t>
            </w:r>
          </w:p>
        </w:tc>
        <w:tc>
          <w:tcPr>
            <w:tcW w:w="3117" w:type="dxa"/>
          </w:tcPr>
          <w:p w14:paraId="0F8988C4" w14:textId="77777777" w:rsidR="00E26A40" w:rsidRPr="00E26A40" w:rsidRDefault="00E26A40" w:rsidP="00AD665A">
            <w:pPr>
              <w:rPr>
                <w:color w:val="000000" w:themeColor="text1"/>
                <w:sz w:val="20"/>
                <w:szCs w:val="20"/>
              </w:rPr>
            </w:pPr>
            <w:r w:rsidRPr="00E26A40">
              <w:rPr>
                <w:color w:val="000000" w:themeColor="text1"/>
                <w:sz w:val="20"/>
                <w:szCs w:val="20"/>
              </w:rPr>
              <w:t>1940-1959</w:t>
            </w:r>
          </w:p>
        </w:tc>
        <w:tc>
          <w:tcPr>
            <w:tcW w:w="3117" w:type="dxa"/>
          </w:tcPr>
          <w:p w14:paraId="2A507D27" w14:textId="77777777" w:rsidR="00E26A40" w:rsidRPr="00E26A40" w:rsidRDefault="00E26A40" w:rsidP="00AD665A">
            <w:pPr>
              <w:rPr>
                <w:color w:val="000000" w:themeColor="text1"/>
                <w:sz w:val="20"/>
                <w:szCs w:val="20"/>
              </w:rPr>
            </w:pPr>
            <w:r w:rsidRPr="00E26A40">
              <w:rPr>
                <w:color w:val="000000" w:themeColor="text1"/>
                <w:sz w:val="20"/>
                <w:szCs w:val="20"/>
              </w:rPr>
              <w:t>1960-1979</w:t>
            </w:r>
          </w:p>
        </w:tc>
      </w:tr>
      <w:tr w:rsidR="00E26A40" w:rsidRPr="00E26A40" w14:paraId="65F4C3C8" w14:textId="77777777" w:rsidTr="00AD665A">
        <w:tc>
          <w:tcPr>
            <w:tcW w:w="3116" w:type="dxa"/>
          </w:tcPr>
          <w:p w14:paraId="1E7CFBE3" w14:textId="77777777" w:rsidR="00E26A40" w:rsidRPr="00E26A40" w:rsidRDefault="00E26A40" w:rsidP="00AD665A">
            <w:pPr>
              <w:rPr>
                <w:color w:val="000000" w:themeColor="text1"/>
                <w:sz w:val="20"/>
                <w:szCs w:val="20"/>
              </w:rPr>
            </w:pPr>
            <w:r w:rsidRPr="00E26A40">
              <w:rPr>
                <w:color w:val="000000" w:themeColor="text1"/>
                <w:sz w:val="20"/>
                <w:szCs w:val="20"/>
              </w:rPr>
              <w:t>Net Cloud Forcing (W/m</w:t>
            </w:r>
            <w:r w:rsidRPr="00E26A40">
              <w:rPr>
                <w:color w:val="000000" w:themeColor="text1"/>
                <w:sz w:val="20"/>
                <w:szCs w:val="20"/>
                <w:vertAlign w:val="superscript"/>
              </w:rPr>
              <w:t>2</w:t>
            </w:r>
            <w:r w:rsidRPr="00E26A40">
              <w:rPr>
                <w:color w:val="000000" w:themeColor="text1"/>
                <w:sz w:val="20"/>
                <w:szCs w:val="20"/>
              </w:rPr>
              <w:t>)</w:t>
            </w:r>
          </w:p>
        </w:tc>
        <w:tc>
          <w:tcPr>
            <w:tcW w:w="3117" w:type="dxa"/>
          </w:tcPr>
          <w:p w14:paraId="3BD7E7D7" w14:textId="77777777" w:rsidR="00E26A40" w:rsidRPr="00E26A40" w:rsidRDefault="00E26A40" w:rsidP="00AD665A">
            <w:pPr>
              <w:rPr>
                <w:color w:val="000000" w:themeColor="text1"/>
                <w:sz w:val="20"/>
                <w:szCs w:val="20"/>
              </w:rPr>
            </w:pPr>
            <w:r w:rsidRPr="00E26A40">
              <w:rPr>
                <w:color w:val="000000" w:themeColor="text1"/>
                <w:sz w:val="20"/>
                <w:szCs w:val="20"/>
              </w:rPr>
              <w:t>0.099 (-0.611, -0.710)</w:t>
            </w:r>
          </w:p>
        </w:tc>
        <w:tc>
          <w:tcPr>
            <w:tcW w:w="3117" w:type="dxa"/>
          </w:tcPr>
          <w:p w14:paraId="64E5FBAB" w14:textId="77777777" w:rsidR="00E26A40" w:rsidRPr="00E26A40" w:rsidRDefault="00E26A40" w:rsidP="00AD665A">
            <w:pPr>
              <w:rPr>
                <w:color w:val="000000" w:themeColor="text1"/>
                <w:sz w:val="20"/>
                <w:szCs w:val="20"/>
              </w:rPr>
            </w:pPr>
            <w:r w:rsidRPr="00E26A40">
              <w:rPr>
                <w:color w:val="000000" w:themeColor="text1"/>
                <w:sz w:val="20"/>
                <w:szCs w:val="20"/>
              </w:rPr>
              <w:t>0.016 (-0.985, -1.001)</w:t>
            </w:r>
          </w:p>
        </w:tc>
      </w:tr>
      <w:tr w:rsidR="00E26A40" w:rsidRPr="00E26A40" w14:paraId="3BBD4781" w14:textId="77777777" w:rsidTr="00AD665A">
        <w:tc>
          <w:tcPr>
            <w:tcW w:w="3116" w:type="dxa"/>
          </w:tcPr>
          <w:p w14:paraId="7A07C8BD" w14:textId="77777777" w:rsidR="00E26A40" w:rsidRPr="00E26A40" w:rsidRDefault="00E26A40" w:rsidP="00AD665A">
            <w:pPr>
              <w:rPr>
                <w:color w:val="000000" w:themeColor="text1"/>
                <w:sz w:val="20"/>
                <w:szCs w:val="20"/>
              </w:rPr>
            </w:pPr>
            <w:r w:rsidRPr="00E26A40">
              <w:rPr>
                <w:color w:val="000000" w:themeColor="text1"/>
                <w:sz w:val="20"/>
                <w:szCs w:val="20"/>
              </w:rPr>
              <w:t>Low Cloud Fraction (%)</w:t>
            </w:r>
          </w:p>
        </w:tc>
        <w:tc>
          <w:tcPr>
            <w:tcW w:w="3117" w:type="dxa"/>
          </w:tcPr>
          <w:p w14:paraId="17ACE8E2" w14:textId="279288B8" w:rsidR="00E26A40" w:rsidRPr="00E26A40" w:rsidRDefault="00E26A40" w:rsidP="00AD665A">
            <w:pPr>
              <w:rPr>
                <w:color w:val="000000" w:themeColor="text1"/>
                <w:sz w:val="20"/>
                <w:szCs w:val="20"/>
              </w:rPr>
            </w:pPr>
            <w:r w:rsidRPr="00E26A40">
              <w:rPr>
                <w:color w:val="000000" w:themeColor="text1"/>
                <w:sz w:val="20"/>
                <w:szCs w:val="20"/>
              </w:rPr>
              <w:t xml:space="preserve"> -0.133* (0.131, 0.265)</w:t>
            </w:r>
          </w:p>
        </w:tc>
        <w:tc>
          <w:tcPr>
            <w:tcW w:w="3117" w:type="dxa"/>
          </w:tcPr>
          <w:p w14:paraId="5F6EE112" w14:textId="77777777" w:rsidR="00E26A40" w:rsidRPr="00E26A40" w:rsidRDefault="00E26A40" w:rsidP="00AD665A">
            <w:pPr>
              <w:rPr>
                <w:color w:val="000000" w:themeColor="text1"/>
                <w:sz w:val="20"/>
                <w:szCs w:val="20"/>
              </w:rPr>
            </w:pPr>
            <w:r w:rsidRPr="00E26A40">
              <w:rPr>
                <w:color w:val="000000" w:themeColor="text1"/>
                <w:sz w:val="20"/>
                <w:szCs w:val="20"/>
              </w:rPr>
              <w:t>-0.032 (0.369, 0.401)</w:t>
            </w:r>
          </w:p>
        </w:tc>
      </w:tr>
      <w:tr w:rsidR="00E26A40" w:rsidRPr="00E26A40" w14:paraId="5D4E35AA" w14:textId="77777777" w:rsidTr="00AD665A">
        <w:tc>
          <w:tcPr>
            <w:tcW w:w="3116" w:type="dxa"/>
          </w:tcPr>
          <w:p w14:paraId="676D0324" w14:textId="77777777" w:rsidR="00E26A40" w:rsidRPr="00E26A40" w:rsidRDefault="00E26A40" w:rsidP="00AD665A">
            <w:pPr>
              <w:rPr>
                <w:color w:val="000000" w:themeColor="text1"/>
                <w:sz w:val="20"/>
                <w:szCs w:val="20"/>
              </w:rPr>
            </w:pPr>
            <w:r w:rsidRPr="00E26A40">
              <w:rPr>
                <w:color w:val="000000" w:themeColor="text1"/>
                <w:sz w:val="20"/>
                <w:szCs w:val="20"/>
              </w:rPr>
              <w:t>Cloud Liquid Water Path (kg/m</w:t>
            </w:r>
            <w:r w:rsidRPr="00E26A40">
              <w:rPr>
                <w:color w:val="000000" w:themeColor="text1"/>
                <w:sz w:val="20"/>
                <w:szCs w:val="20"/>
                <w:vertAlign w:val="superscript"/>
              </w:rPr>
              <w:t>2</w:t>
            </w:r>
            <w:r w:rsidRPr="00E26A40">
              <w:rPr>
                <w:color w:val="000000" w:themeColor="text1"/>
                <w:sz w:val="20"/>
                <w:szCs w:val="20"/>
              </w:rPr>
              <w:t>)</w:t>
            </w:r>
          </w:p>
        </w:tc>
        <w:tc>
          <w:tcPr>
            <w:tcW w:w="3117" w:type="dxa"/>
          </w:tcPr>
          <w:p w14:paraId="5C1E6FC4" w14:textId="77777777" w:rsidR="00E26A40" w:rsidRPr="00E26A40" w:rsidRDefault="00E26A40" w:rsidP="00AD665A">
            <w:pPr>
              <w:rPr>
                <w:color w:val="000000" w:themeColor="text1"/>
                <w:sz w:val="20"/>
                <w:szCs w:val="20"/>
              </w:rPr>
            </w:pPr>
            <w:r w:rsidRPr="00E26A40">
              <w:rPr>
                <w:color w:val="000000" w:themeColor="text1"/>
                <w:sz w:val="20"/>
                <w:szCs w:val="20"/>
              </w:rPr>
              <w:t>-9.65 E-05 (9.73E-4, 1.07E-3)</w:t>
            </w:r>
          </w:p>
        </w:tc>
        <w:tc>
          <w:tcPr>
            <w:tcW w:w="3117" w:type="dxa"/>
          </w:tcPr>
          <w:p w14:paraId="16B29D6E" w14:textId="77777777" w:rsidR="00E26A40" w:rsidRPr="00E26A40" w:rsidRDefault="00E26A40" w:rsidP="00AD665A">
            <w:pPr>
              <w:rPr>
                <w:color w:val="000000" w:themeColor="text1"/>
                <w:sz w:val="20"/>
                <w:szCs w:val="20"/>
              </w:rPr>
            </w:pPr>
            <w:r w:rsidRPr="00E26A40">
              <w:rPr>
                <w:color w:val="000000" w:themeColor="text1"/>
                <w:sz w:val="20"/>
                <w:szCs w:val="20"/>
              </w:rPr>
              <w:t>-1.03E-4 (1.48E-3, 1.58E-3)</w:t>
            </w:r>
          </w:p>
        </w:tc>
      </w:tr>
      <w:tr w:rsidR="00E26A40" w:rsidRPr="00E26A40" w14:paraId="16A6517C" w14:textId="77777777" w:rsidTr="00AD665A">
        <w:tc>
          <w:tcPr>
            <w:tcW w:w="3116" w:type="dxa"/>
          </w:tcPr>
          <w:p w14:paraId="1C6D9726" w14:textId="77777777" w:rsidR="00E26A40" w:rsidRPr="00E26A40" w:rsidRDefault="00E26A40" w:rsidP="00AD665A">
            <w:pPr>
              <w:rPr>
                <w:color w:val="000000" w:themeColor="text1"/>
                <w:sz w:val="20"/>
                <w:szCs w:val="20"/>
              </w:rPr>
            </w:pPr>
            <w:r w:rsidRPr="00E26A40">
              <w:rPr>
                <w:color w:val="000000" w:themeColor="text1"/>
                <w:sz w:val="20"/>
                <w:szCs w:val="20"/>
              </w:rPr>
              <w:t>Surface T (</w:t>
            </w:r>
            <w:proofErr w:type="spellStart"/>
            <w:r w:rsidRPr="00E26A40">
              <w:rPr>
                <w:color w:val="000000" w:themeColor="text1"/>
                <w:sz w:val="20"/>
                <w:szCs w:val="20"/>
                <w:vertAlign w:val="superscript"/>
              </w:rPr>
              <w:t>o</w:t>
            </w:r>
            <w:r w:rsidRPr="00E26A40">
              <w:rPr>
                <w:color w:val="000000" w:themeColor="text1"/>
                <w:sz w:val="20"/>
                <w:szCs w:val="20"/>
              </w:rPr>
              <w:t>K</w:t>
            </w:r>
            <w:proofErr w:type="spellEnd"/>
            <w:r w:rsidRPr="00E26A40">
              <w:rPr>
                <w:color w:val="000000" w:themeColor="text1"/>
                <w:sz w:val="20"/>
                <w:szCs w:val="20"/>
              </w:rPr>
              <w:t>)</w:t>
            </w:r>
          </w:p>
        </w:tc>
        <w:tc>
          <w:tcPr>
            <w:tcW w:w="3117" w:type="dxa"/>
          </w:tcPr>
          <w:p w14:paraId="334C3EDC" w14:textId="3B93B4B0" w:rsidR="00E26A40" w:rsidRPr="00E26A40" w:rsidRDefault="00E26A40" w:rsidP="00AD665A">
            <w:pPr>
              <w:rPr>
                <w:color w:val="000000" w:themeColor="text1"/>
                <w:sz w:val="20"/>
                <w:szCs w:val="20"/>
              </w:rPr>
            </w:pPr>
            <w:r w:rsidRPr="00E26A40">
              <w:rPr>
                <w:color w:val="000000" w:themeColor="text1"/>
                <w:sz w:val="20"/>
                <w:szCs w:val="20"/>
              </w:rPr>
              <w:t>0.089* (0.004, -0.084)</w:t>
            </w:r>
          </w:p>
        </w:tc>
        <w:tc>
          <w:tcPr>
            <w:tcW w:w="3117" w:type="dxa"/>
          </w:tcPr>
          <w:p w14:paraId="0F143E4A" w14:textId="77777777" w:rsidR="00E26A40" w:rsidRPr="00E26A40" w:rsidRDefault="00E26A40" w:rsidP="00AD665A">
            <w:pPr>
              <w:rPr>
                <w:color w:val="000000" w:themeColor="text1"/>
                <w:sz w:val="20"/>
                <w:szCs w:val="20"/>
              </w:rPr>
            </w:pPr>
            <w:r w:rsidRPr="00E26A40">
              <w:rPr>
                <w:color w:val="000000" w:themeColor="text1"/>
                <w:sz w:val="20"/>
                <w:szCs w:val="20"/>
              </w:rPr>
              <w:t>0.052 (-0.190, -0.242)</w:t>
            </w:r>
          </w:p>
        </w:tc>
      </w:tr>
    </w:tbl>
    <w:p w14:paraId="0590C928" w14:textId="77777777" w:rsidR="00E26A40" w:rsidRPr="00E26A40" w:rsidRDefault="00E26A40" w:rsidP="00E26A40">
      <w:pPr>
        <w:rPr>
          <w:sz w:val="20"/>
          <w:szCs w:val="20"/>
        </w:rPr>
      </w:pPr>
    </w:p>
    <w:p w14:paraId="1E81C578" w14:textId="77777777" w:rsidR="00E26A40" w:rsidRDefault="00E26A40" w:rsidP="00E26A40">
      <w:pPr>
        <w:tabs>
          <w:tab w:val="left" w:pos="5371"/>
        </w:tabs>
      </w:pPr>
    </w:p>
    <w:p w14:paraId="26E92C45" w14:textId="77777777" w:rsidR="00E26A40" w:rsidRDefault="00E26A40" w:rsidP="00E26A40">
      <w:pPr>
        <w:rPr>
          <w:sz w:val="20"/>
          <w:szCs w:val="20"/>
        </w:rPr>
      </w:pPr>
    </w:p>
    <w:p w14:paraId="6EBF2374" w14:textId="77777777" w:rsidR="00E26A40" w:rsidRDefault="00E26A40" w:rsidP="00E26A40">
      <w:pPr>
        <w:rPr>
          <w:sz w:val="20"/>
          <w:szCs w:val="20"/>
        </w:rPr>
      </w:pPr>
    </w:p>
    <w:p w14:paraId="21B96369" w14:textId="0B6E8911" w:rsidR="00E26A40" w:rsidRPr="00E26A40" w:rsidRDefault="00E26A40" w:rsidP="00E26A40">
      <w:pPr>
        <w:rPr>
          <w:b/>
          <w:bCs/>
          <w:sz w:val="20"/>
          <w:szCs w:val="20"/>
        </w:rPr>
      </w:pPr>
      <w:r w:rsidRPr="00E26A40">
        <w:rPr>
          <w:b/>
          <w:bCs/>
          <w:sz w:val="20"/>
          <w:szCs w:val="20"/>
        </w:rPr>
        <w:t>Reference</w:t>
      </w:r>
    </w:p>
    <w:p w14:paraId="602DCAB6" w14:textId="77777777" w:rsidR="00E26A40" w:rsidRPr="00E26A40" w:rsidRDefault="00E26A40" w:rsidP="00E26A40">
      <w:pPr>
        <w:pStyle w:val="Bibliography"/>
        <w:rPr>
          <w:sz w:val="20"/>
        </w:rPr>
      </w:pPr>
      <w:r>
        <w:rPr>
          <w:sz w:val="20"/>
          <w:szCs w:val="20"/>
        </w:rPr>
        <w:fldChar w:fldCharType="begin"/>
      </w:r>
      <w:r>
        <w:rPr>
          <w:sz w:val="20"/>
          <w:szCs w:val="20"/>
        </w:rPr>
        <w:instrText xml:space="preserve"> ADDIN ZOTERO_BIBL {"uncited":[],"omitted":[],"custom":[]} CSL_BIBLIOGRAPHY </w:instrText>
      </w:r>
      <w:r>
        <w:rPr>
          <w:sz w:val="20"/>
          <w:szCs w:val="20"/>
        </w:rPr>
        <w:fldChar w:fldCharType="separate"/>
      </w:r>
      <w:r w:rsidRPr="00E26A40">
        <w:rPr>
          <w:sz w:val="20"/>
        </w:rPr>
        <w:t>Chim, M. M., Aubry, T. J., Abraham, N. L., Marshall, L., Mulcahy, J., Walton, J., and Schmidt, A.: Climate Projections Very Likely Underestimate Future Volcanic Forcing and Its Climatic Effects, Geophysical Research Letters, 50, e2023GL103743, https://doi.org/10.1029/2023GL103743, 2023.</w:t>
      </w:r>
    </w:p>
    <w:p w14:paraId="57C6968F" w14:textId="77777777" w:rsidR="00E26A40" w:rsidRPr="00E26A40" w:rsidRDefault="00E26A40" w:rsidP="00E26A40">
      <w:pPr>
        <w:pStyle w:val="Bibliography"/>
        <w:rPr>
          <w:sz w:val="20"/>
        </w:rPr>
      </w:pPr>
      <w:r w:rsidRPr="00E26A40">
        <w:rPr>
          <w:sz w:val="20"/>
        </w:rPr>
        <w:t>Schmidt, A., Carslaw, K. S., Mann, G. W., Rap, A., Pringle, K. J., Spracklen, D. V., Wilson, M., and Forster, P. M.: Importance of tropospheric volcanic aerosol for indirect radiative forcing of climate, Atmospheric Chemistry and Physics, 12, 7321–7339, https://doi.org/10.5194/acp-12-7321-2012, 2012.</w:t>
      </w:r>
    </w:p>
    <w:p w14:paraId="7ED2EE04" w14:textId="0311372C" w:rsidR="00E26A40" w:rsidRDefault="00E26A40" w:rsidP="00E26A40">
      <w:pPr>
        <w:rPr>
          <w:sz w:val="20"/>
          <w:szCs w:val="20"/>
        </w:rPr>
      </w:pPr>
      <w:r>
        <w:rPr>
          <w:sz w:val="20"/>
          <w:szCs w:val="20"/>
        </w:rPr>
        <w:fldChar w:fldCharType="end"/>
      </w:r>
    </w:p>
    <w:p w14:paraId="3CB7A7DB" w14:textId="77777777" w:rsidR="00E26A40" w:rsidRDefault="00E26A40"/>
    <w:sectPr w:rsidR="00E26A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D66"/>
    <w:rsid w:val="00006E1D"/>
    <w:rsid w:val="00023166"/>
    <w:rsid w:val="0003734D"/>
    <w:rsid w:val="0005785C"/>
    <w:rsid w:val="000D3909"/>
    <w:rsid w:val="000E1054"/>
    <w:rsid w:val="000F6546"/>
    <w:rsid w:val="0010444B"/>
    <w:rsid w:val="00111420"/>
    <w:rsid w:val="0016189F"/>
    <w:rsid w:val="001635EB"/>
    <w:rsid w:val="001B399A"/>
    <w:rsid w:val="001C05AC"/>
    <w:rsid w:val="00204DF2"/>
    <w:rsid w:val="00240F0A"/>
    <w:rsid w:val="00254169"/>
    <w:rsid w:val="002550E4"/>
    <w:rsid w:val="00262899"/>
    <w:rsid w:val="00285905"/>
    <w:rsid w:val="0029274C"/>
    <w:rsid w:val="002B7E39"/>
    <w:rsid w:val="003334DA"/>
    <w:rsid w:val="003636EB"/>
    <w:rsid w:val="00375FDA"/>
    <w:rsid w:val="00381C66"/>
    <w:rsid w:val="003A2B66"/>
    <w:rsid w:val="003C1DC3"/>
    <w:rsid w:val="003D77D0"/>
    <w:rsid w:val="0043335B"/>
    <w:rsid w:val="00457315"/>
    <w:rsid w:val="004675C7"/>
    <w:rsid w:val="00484665"/>
    <w:rsid w:val="00494138"/>
    <w:rsid w:val="004964F6"/>
    <w:rsid w:val="00501285"/>
    <w:rsid w:val="00530838"/>
    <w:rsid w:val="00547870"/>
    <w:rsid w:val="00553CBB"/>
    <w:rsid w:val="00570C5E"/>
    <w:rsid w:val="00586460"/>
    <w:rsid w:val="005A09F4"/>
    <w:rsid w:val="005A0AA6"/>
    <w:rsid w:val="005A2763"/>
    <w:rsid w:val="005E05DA"/>
    <w:rsid w:val="006124D9"/>
    <w:rsid w:val="0063409C"/>
    <w:rsid w:val="00680B2F"/>
    <w:rsid w:val="00691AE7"/>
    <w:rsid w:val="006A53A3"/>
    <w:rsid w:val="006C079B"/>
    <w:rsid w:val="006E3BB5"/>
    <w:rsid w:val="006F18B8"/>
    <w:rsid w:val="00705CBB"/>
    <w:rsid w:val="007248C8"/>
    <w:rsid w:val="00775B53"/>
    <w:rsid w:val="0078122F"/>
    <w:rsid w:val="007C2251"/>
    <w:rsid w:val="007C7BCE"/>
    <w:rsid w:val="007E4267"/>
    <w:rsid w:val="007E5EC0"/>
    <w:rsid w:val="00802F0A"/>
    <w:rsid w:val="00865EB2"/>
    <w:rsid w:val="0087417C"/>
    <w:rsid w:val="00875E5E"/>
    <w:rsid w:val="008B15E9"/>
    <w:rsid w:val="008F4590"/>
    <w:rsid w:val="009006EF"/>
    <w:rsid w:val="00921529"/>
    <w:rsid w:val="009753D1"/>
    <w:rsid w:val="009A218E"/>
    <w:rsid w:val="009D3A41"/>
    <w:rsid w:val="00A01EAD"/>
    <w:rsid w:val="00A03389"/>
    <w:rsid w:val="00A11D6E"/>
    <w:rsid w:val="00A2600B"/>
    <w:rsid w:val="00A2660E"/>
    <w:rsid w:val="00A40C4F"/>
    <w:rsid w:val="00A4497A"/>
    <w:rsid w:val="00A85CC1"/>
    <w:rsid w:val="00A95611"/>
    <w:rsid w:val="00A9747C"/>
    <w:rsid w:val="00AC30E8"/>
    <w:rsid w:val="00AE1C5C"/>
    <w:rsid w:val="00AE1FEF"/>
    <w:rsid w:val="00AE6659"/>
    <w:rsid w:val="00AF394B"/>
    <w:rsid w:val="00B353FF"/>
    <w:rsid w:val="00B47624"/>
    <w:rsid w:val="00B676FE"/>
    <w:rsid w:val="00B810E5"/>
    <w:rsid w:val="00B915A3"/>
    <w:rsid w:val="00BA16D9"/>
    <w:rsid w:val="00BC1CAA"/>
    <w:rsid w:val="00C1654F"/>
    <w:rsid w:val="00C44F41"/>
    <w:rsid w:val="00C560CE"/>
    <w:rsid w:val="00C831E5"/>
    <w:rsid w:val="00CA741C"/>
    <w:rsid w:val="00CC0170"/>
    <w:rsid w:val="00CD4CFE"/>
    <w:rsid w:val="00CD5926"/>
    <w:rsid w:val="00D56B97"/>
    <w:rsid w:val="00D77AE0"/>
    <w:rsid w:val="00D92CD0"/>
    <w:rsid w:val="00DA3B03"/>
    <w:rsid w:val="00DB6D66"/>
    <w:rsid w:val="00DC518B"/>
    <w:rsid w:val="00DD55AC"/>
    <w:rsid w:val="00DD647D"/>
    <w:rsid w:val="00DE12C4"/>
    <w:rsid w:val="00E26A40"/>
    <w:rsid w:val="00E502B1"/>
    <w:rsid w:val="00E83179"/>
    <w:rsid w:val="00E931C6"/>
    <w:rsid w:val="00E93CB2"/>
    <w:rsid w:val="00EA1415"/>
    <w:rsid w:val="00EA4827"/>
    <w:rsid w:val="00EA50B6"/>
    <w:rsid w:val="00EB1EA2"/>
    <w:rsid w:val="00F02AB4"/>
    <w:rsid w:val="00F03F58"/>
    <w:rsid w:val="00F14539"/>
    <w:rsid w:val="00F17199"/>
    <w:rsid w:val="00F25C0A"/>
    <w:rsid w:val="00F47815"/>
    <w:rsid w:val="00F727CB"/>
    <w:rsid w:val="00F72BEF"/>
    <w:rsid w:val="00FA1C9B"/>
    <w:rsid w:val="00FA5C7C"/>
    <w:rsid w:val="00FC7288"/>
    <w:rsid w:val="00FF0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D100EB5"/>
  <w15:chartTrackingRefBased/>
  <w15:docId w15:val="{16C2A045-97EB-F54E-B2F9-D44337EEE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A40"/>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DB6D6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unhideWhenUsed/>
    <w:qFormat/>
    <w:rsid w:val="00DB6D6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DB6D66"/>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DB6D66"/>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DB6D66"/>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DB6D66"/>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DB6D66"/>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DB6D66"/>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DB6D66"/>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D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B6D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6D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6D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6D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6D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6D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6D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6D66"/>
    <w:rPr>
      <w:rFonts w:eastAsiaTheme="majorEastAsia" w:cstheme="majorBidi"/>
      <w:color w:val="272727" w:themeColor="text1" w:themeTint="D8"/>
    </w:rPr>
  </w:style>
  <w:style w:type="paragraph" w:styleId="Title">
    <w:name w:val="Title"/>
    <w:basedOn w:val="Normal"/>
    <w:next w:val="Normal"/>
    <w:link w:val="TitleChar"/>
    <w:uiPriority w:val="10"/>
    <w:qFormat/>
    <w:rsid w:val="00DB6D6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DB6D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6D66"/>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DB6D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6D66"/>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DB6D66"/>
    <w:rPr>
      <w:i/>
      <w:iCs/>
      <w:color w:val="404040" w:themeColor="text1" w:themeTint="BF"/>
    </w:rPr>
  </w:style>
  <w:style w:type="paragraph" w:styleId="ListParagraph">
    <w:name w:val="List Paragraph"/>
    <w:basedOn w:val="Normal"/>
    <w:uiPriority w:val="34"/>
    <w:qFormat/>
    <w:rsid w:val="00DB6D66"/>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DB6D66"/>
    <w:rPr>
      <w:i/>
      <w:iCs/>
      <w:color w:val="0F4761" w:themeColor="accent1" w:themeShade="BF"/>
    </w:rPr>
  </w:style>
  <w:style w:type="paragraph" w:styleId="IntenseQuote">
    <w:name w:val="Intense Quote"/>
    <w:basedOn w:val="Normal"/>
    <w:next w:val="Normal"/>
    <w:link w:val="IntenseQuoteChar"/>
    <w:uiPriority w:val="30"/>
    <w:qFormat/>
    <w:rsid w:val="00DB6D6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DB6D66"/>
    <w:rPr>
      <w:i/>
      <w:iCs/>
      <w:color w:val="0F4761" w:themeColor="accent1" w:themeShade="BF"/>
    </w:rPr>
  </w:style>
  <w:style w:type="character" w:styleId="IntenseReference">
    <w:name w:val="Intense Reference"/>
    <w:basedOn w:val="DefaultParagraphFont"/>
    <w:uiPriority w:val="32"/>
    <w:qFormat/>
    <w:rsid w:val="00DB6D66"/>
    <w:rPr>
      <w:b/>
      <w:bCs/>
      <w:smallCaps/>
      <w:color w:val="0F4761" w:themeColor="accent1" w:themeShade="BF"/>
      <w:spacing w:val="5"/>
    </w:rPr>
  </w:style>
  <w:style w:type="table" w:styleId="TableGrid">
    <w:name w:val="Table Grid"/>
    <w:basedOn w:val="TableNormal"/>
    <w:uiPriority w:val="39"/>
    <w:rsid w:val="00E26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E26A40"/>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1611</Words>
  <Characters>9183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 Ziming</dc:creator>
  <cp:keywords/>
  <dc:description/>
  <cp:lastModifiedBy>Ziming Ke</cp:lastModifiedBy>
  <cp:revision>3</cp:revision>
  <dcterms:created xsi:type="dcterms:W3CDTF">2025-06-27T15:54:00Z</dcterms:created>
  <dcterms:modified xsi:type="dcterms:W3CDTF">2025-06-27T15:55:00Z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id="yVyF8nlX"/&gt;&lt;style id="http://www.zotero.org/styles/geoscientific-model-development" hasBibliography="1" bibliographyStyleHasBeenSet="1"/&gt;&lt;prefs&gt;&lt;pref name="fieldType" value="Field"/&gt;&lt;/prefs&gt;&lt;/dat</vt:lpwstr>
  </property>
  <property fmtid="{D5CDD505-2E9C-101B-9397-08002B2CF9AE}" pid="3" name="ZOTERO_PREF_2">
    <vt:lpwstr>a&gt;</vt:lpwstr>
  </property>
</Properties>
</file>