
<file path=[Content_Types].xml><?xml version="1.0" encoding="utf-8"?>
<Types xmlns="http://schemas.openxmlformats.org/package/2006/content-types">
  <Default Extension="xml" ContentType="application/xml"/>
  <Default Extension="tif" ContentType="image/tiff"/>
  <Default Extension="png" ContentType="image/png"/>
  <Default Extension="rels" ContentType="application/vnd.openxmlformats-package.relationships+xml"/>
  <Default Extension="emf" ContentType="image/x-emf"/>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4DBD88" w14:textId="4FB8B523" w:rsidR="000E3CEB" w:rsidRDefault="000E3CEB" w:rsidP="00C30735">
      <w:pPr>
        <w:keepNext/>
        <w:spacing w:before="240" w:after="240"/>
        <w:jc w:val="both"/>
        <w:outlineLvl w:val="2"/>
        <w:rPr>
          <w:rFonts w:ascii="Times New Roman" w:eastAsia="Times New Roman" w:hAnsi="Times New Roman" w:cs="Arial"/>
          <w:b/>
          <w:bCs/>
          <w:sz w:val="20"/>
          <w:szCs w:val="26"/>
          <w:lang w:val="en-GB" w:eastAsia="de-DE"/>
        </w:rPr>
      </w:pPr>
      <w:r>
        <w:rPr>
          <w:rFonts w:ascii="Times New Roman" w:eastAsia="Times New Roman" w:hAnsi="Times New Roman" w:cs="Arial"/>
          <w:b/>
          <w:bCs/>
          <w:sz w:val="20"/>
          <w:szCs w:val="26"/>
          <w:lang w:val="en-GB" w:eastAsia="de-DE"/>
        </w:rPr>
        <w:t>Supplementary</w:t>
      </w:r>
    </w:p>
    <w:p w14:paraId="4E27F9B4" w14:textId="4AED1B61" w:rsidR="004A1A52" w:rsidRPr="00BD7FE7" w:rsidRDefault="0084684B" w:rsidP="004A1A52">
      <w:pPr>
        <w:spacing w:before="180"/>
        <w:jc w:val="both"/>
        <w:rPr>
          <w:rFonts w:ascii="Times New Roman" w:eastAsia="Times New Roman" w:hAnsi="Times New Roman" w:cs="Arial"/>
          <w:b/>
          <w:bCs/>
          <w:iCs/>
          <w:sz w:val="20"/>
          <w:szCs w:val="28"/>
          <w:lang w:val="en-GB" w:eastAsia="de-DE"/>
        </w:rPr>
      </w:pPr>
      <w:r>
        <w:rPr>
          <w:rFonts w:ascii="Times New Roman" w:eastAsia="Times New Roman" w:hAnsi="Times New Roman" w:cs="Arial"/>
          <w:b/>
          <w:bCs/>
          <w:iCs/>
          <w:sz w:val="20"/>
          <w:szCs w:val="28"/>
          <w:lang w:val="en-GB" w:eastAsia="de-DE"/>
        </w:rPr>
        <w:t>S1</w:t>
      </w:r>
      <w:r w:rsidR="004A1A52" w:rsidRPr="00BD7FE7">
        <w:rPr>
          <w:rFonts w:ascii="Times New Roman" w:eastAsia="Times New Roman" w:hAnsi="Times New Roman" w:cs="Arial"/>
          <w:b/>
          <w:bCs/>
          <w:iCs/>
          <w:sz w:val="20"/>
          <w:szCs w:val="28"/>
          <w:lang w:val="en-GB" w:eastAsia="de-DE"/>
        </w:rPr>
        <w:t>. Evaluation datasets</w:t>
      </w:r>
    </w:p>
    <w:p w14:paraId="6EA33F50" w14:textId="77777777" w:rsidR="004A1A52" w:rsidRPr="001C434F" w:rsidRDefault="004A1A52" w:rsidP="004A1A52">
      <w:pPr>
        <w:keepNext/>
        <w:spacing w:before="240" w:after="240"/>
        <w:jc w:val="both"/>
        <w:outlineLvl w:val="1"/>
        <w:rPr>
          <w:rFonts w:ascii="Times New Roman" w:eastAsia="Times New Roman" w:hAnsi="Times New Roman" w:cs="Arial"/>
          <w:b/>
          <w:bCs/>
          <w:iCs/>
          <w:sz w:val="20"/>
          <w:szCs w:val="28"/>
          <w:lang w:eastAsia="de-DE"/>
        </w:rPr>
      </w:pPr>
      <w:r w:rsidRPr="00D114E3">
        <w:rPr>
          <w:rFonts w:ascii="Times New Roman" w:eastAsia="Times New Roman" w:hAnsi="Times New Roman" w:cs="Arial"/>
          <w:b/>
          <w:bCs/>
          <w:iCs/>
          <w:sz w:val="20"/>
          <w:szCs w:val="28"/>
          <w:lang w:val="en-GB" w:eastAsia="de-DE"/>
        </w:rPr>
        <w:t>A: Spin-up and pre-industrial simulations</w:t>
      </w:r>
    </w:p>
    <w:p w14:paraId="07C0C080" w14:textId="1A27178B" w:rsidR="004A1A52" w:rsidRPr="00D114E3" w:rsidRDefault="004A1A52" w:rsidP="004A1A52">
      <w:pPr>
        <w:spacing w:before="180"/>
        <w:jc w:val="both"/>
        <w:rPr>
          <w:rFonts w:ascii="Times New Roman" w:eastAsia="宋体" w:hAnsi="Times New Roman" w:cs="Times New Roman"/>
          <w:b/>
          <w:i/>
          <w:color w:val="000000"/>
          <w:u w:val="single"/>
        </w:rPr>
      </w:pPr>
      <w:r w:rsidRPr="00D114E3">
        <w:rPr>
          <w:rFonts w:ascii="Times New Roman" w:eastAsia="宋体" w:hAnsi="Times New Roman" w:cs="Times New Roman"/>
        </w:rPr>
        <w:t>The historic simulation is preceded by three steps of spin-up to equilibrate plant and soil organic C, N and P to pre-industrial conditions. The spin-up steps are forced by looped climate fields over the period 1901-1920, fixed pre-industrial atmospheric CO</w:t>
      </w:r>
      <w:r w:rsidRPr="00D114E3">
        <w:rPr>
          <w:rFonts w:ascii="Times New Roman" w:eastAsia="宋体" w:hAnsi="Times New Roman" w:cs="Times New Roman"/>
          <w:vertAlign w:val="subscript"/>
        </w:rPr>
        <w:t xml:space="preserve">2 </w:t>
      </w:r>
      <w:r w:rsidRPr="00D114E3">
        <w:rPr>
          <w:rFonts w:ascii="Times New Roman" w:eastAsia="宋体" w:hAnsi="Times New Roman" w:cs="Times New Roman"/>
        </w:rPr>
        <w:t xml:space="preserve">(286 ppm) and land cover maps. We run the </w:t>
      </w:r>
      <w:r w:rsidRPr="00D114E3">
        <w:rPr>
          <w:rFonts w:ascii="Times New Roman" w:eastAsia="宋体" w:hAnsi="Times New Roman" w:cs="Times New Roman"/>
          <w:i/>
        </w:rPr>
        <w:t>spin-up 1</w:t>
      </w:r>
      <w:r w:rsidRPr="00D114E3">
        <w:rPr>
          <w:rFonts w:ascii="Times New Roman" w:eastAsia="宋体" w:hAnsi="Times New Roman" w:cs="Times New Roman"/>
        </w:rPr>
        <w:t xml:space="preserve"> over 200 years with forced C:N:P ratios of plant and soil, followed by two iterations of an analytic spin-up (40 years for each iteration) (Vuichard et al., 2019). This facilitates the accumulation of soil organic C, N and P and approaches the equilibrium for plant productivity. We then run the </w:t>
      </w:r>
      <w:r w:rsidRPr="00D114E3">
        <w:rPr>
          <w:rFonts w:ascii="Times New Roman" w:eastAsia="宋体" w:hAnsi="Times New Roman" w:cs="Times New Roman"/>
          <w:i/>
        </w:rPr>
        <w:t>spin-up 2</w:t>
      </w:r>
      <w:r w:rsidRPr="00D114E3">
        <w:rPr>
          <w:rFonts w:ascii="Times New Roman" w:eastAsia="宋体" w:hAnsi="Times New Roman" w:cs="Times New Roman"/>
        </w:rPr>
        <w:t xml:space="preserve"> from the last year of the </w:t>
      </w:r>
      <w:r w:rsidRPr="00D114E3">
        <w:rPr>
          <w:rFonts w:ascii="Times New Roman" w:eastAsia="宋体" w:hAnsi="Times New Roman" w:cs="Times New Roman"/>
          <w:i/>
        </w:rPr>
        <w:t>spin-up 1</w:t>
      </w:r>
      <w:r w:rsidRPr="00D114E3">
        <w:rPr>
          <w:rFonts w:ascii="Times New Roman" w:eastAsia="宋体" w:hAnsi="Times New Roman" w:cs="Times New Roman"/>
        </w:rPr>
        <w:t xml:space="preserve"> with dynamic C:N:P</w:t>
      </w:r>
      <w:r w:rsidR="006D1CA7">
        <w:rPr>
          <w:rFonts w:ascii="Times New Roman" w:eastAsia="宋体" w:hAnsi="Times New Roman" w:cs="Times New Roman"/>
        </w:rPr>
        <w:t xml:space="preserve"> ratios of plant and soils for 10</w:t>
      </w:r>
      <w:r w:rsidRPr="00D114E3">
        <w:rPr>
          <w:rFonts w:ascii="Times New Roman" w:eastAsia="宋体" w:hAnsi="Times New Roman" w:cs="Times New Roman"/>
        </w:rPr>
        <w:t>k years, to reach a quasi-equilibrium for plant and soil N and P pools. In the last step, crop management (harvest and fertilizer) was activated for 200 years.</w:t>
      </w:r>
    </w:p>
    <w:p w14:paraId="08A5994A" w14:textId="77777777" w:rsidR="004A1A52" w:rsidRPr="00D114E3" w:rsidRDefault="004A1A52" w:rsidP="004A1A52">
      <w:pPr>
        <w:keepNext/>
        <w:spacing w:before="180" w:after="240"/>
        <w:jc w:val="both"/>
        <w:outlineLvl w:val="1"/>
        <w:rPr>
          <w:rFonts w:ascii="Times New Roman" w:eastAsia="Times New Roman" w:hAnsi="Times New Roman" w:cs="Arial"/>
          <w:b/>
          <w:bCs/>
          <w:iCs/>
          <w:sz w:val="20"/>
          <w:szCs w:val="28"/>
          <w:lang w:val="en-GB" w:eastAsia="de-DE"/>
        </w:rPr>
      </w:pPr>
      <w:r w:rsidRPr="00D114E3">
        <w:rPr>
          <w:rFonts w:ascii="Times New Roman" w:eastAsia="Times New Roman" w:hAnsi="Times New Roman" w:cs="Arial"/>
          <w:b/>
          <w:bCs/>
          <w:iCs/>
          <w:sz w:val="20"/>
          <w:szCs w:val="28"/>
          <w:lang w:val="en-GB" w:eastAsia="de-DE"/>
        </w:rPr>
        <w:t>B: Global Observation-based Land-ecosystems Utilization Model of Carbon, Nitrogen and Phosphorus (GOLUM-CNP)</w:t>
      </w:r>
    </w:p>
    <w:p w14:paraId="53F6547E" w14:textId="77777777"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 xml:space="preserve">Global Observation-based Land-ecosystems Utilization Model of Carbon, Nitrogen and Phosphorus (GOLUM-CNP) v1.0 is a data-driven modeling of steady-state carbon, nitrogen and phosphorus cycles for present day (2001-2016) conditions. It combines the CARbon DAta MOdel fraMework (CARDAMOM) data-constrained C-cycle analysis with spatially explicit data-driven estimates of N and P inputs and losses and with observed stoichiometric ratios. We extracted the following variables from GOLUM: global GPP and NPP, N and P in- and out- fluxes (e.g. BNF, N and P deposition, N and P leaching) on global and biome scale, biome-specific N and P resource use efficiencies, N and P openness, and N and P turnover rate. GOLUM-CNP only computed fluxes for non-cropland biomes. To compare the global total stocks and flux budgets of C, N and P from GOLUM-CNP with those from ORCHIDEE-CNP, we multiply the stock and flux in each grid cell of GOLUM-CNP by the non-cropland fraction from the MODIS land cover map (version MCD12C1v006, </w:t>
      </w:r>
      <w:hyperlink r:id="rId6">
        <w:r w:rsidRPr="00D114E3">
          <w:rPr>
            <w:rFonts w:ascii="Times New Roman" w:eastAsia="宋体" w:hAnsi="Times New Roman" w:cs="Times New Roman"/>
          </w:rPr>
          <w:t>https://lpdaac.usgs.gov/products/mcd12c1v006/</w:t>
        </w:r>
      </w:hyperlink>
      <w:r w:rsidRPr="00D114E3">
        <w:rPr>
          <w:rFonts w:ascii="Times New Roman" w:eastAsia="宋体" w:hAnsi="Times New Roman" w:cs="Times New Roman"/>
        </w:rPr>
        <w:t xml:space="preserve">) and sum over all the grid cells. </w:t>
      </w:r>
    </w:p>
    <w:p w14:paraId="2C1450D9" w14:textId="77777777" w:rsidR="004A1A52" w:rsidRPr="00D114E3" w:rsidRDefault="004A1A52" w:rsidP="004A1A52">
      <w:pPr>
        <w:keepNext/>
        <w:spacing w:before="180" w:after="240"/>
        <w:jc w:val="both"/>
        <w:outlineLvl w:val="1"/>
        <w:rPr>
          <w:rFonts w:ascii="Times New Roman" w:eastAsia="Times New Roman" w:hAnsi="Times New Roman" w:cs="Arial"/>
          <w:b/>
          <w:bCs/>
          <w:iCs/>
          <w:sz w:val="20"/>
          <w:szCs w:val="28"/>
          <w:lang w:val="en-GB" w:eastAsia="de-DE"/>
        </w:rPr>
      </w:pPr>
      <w:r w:rsidRPr="00D114E3">
        <w:rPr>
          <w:rFonts w:ascii="Times New Roman" w:eastAsia="Times New Roman" w:hAnsi="Times New Roman" w:cs="Arial"/>
          <w:b/>
          <w:bCs/>
          <w:iCs/>
          <w:sz w:val="20"/>
          <w:szCs w:val="28"/>
          <w:lang w:val="en-GB" w:eastAsia="de-DE"/>
        </w:rPr>
        <w:t>C: Evaluation datasets for the C budget</w:t>
      </w:r>
    </w:p>
    <w:p w14:paraId="226E5DF7" w14:textId="77777777" w:rsidR="004A1A52" w:rsidRPr="00D114E3" w:rsidRDefault="004A1A52" w:rsidP="004A1A52">
      <w:pPr>
        <w:keepNext/>
        <w:spacing w:before="180" w:after="240"/>
        <w:jc w:val="both"/>
        <w:outlineLvl w:val="2"/>
        <w:rPr>
          <w:rFonts w:ascii="Times New Roman" w:eastAsia="Times New Roman" w:hAnsi="Times New Roman" w:cs="Arial"/>
          <w:b/>
          <w:bCs/>
          <w:sz w:val="20"/>
          <w:szCs w:val="26"/>
          <w:lang w:val="en-GB" w:eastAsia="de-DE"/>
        </w:rPr>
      </w:pPr>
      <w:r w:rsidRPr="00D114E3">
        <w:rPr>
          <w:rFonts w:ascii="Times New Roman" w:eastAsia="Times New Roman" w:hAnsi="Times New Roman" w:cs="Arial"/>
          <w:b/>
          <w:bCs/>
          <w:sz w:val="20"/>
          <w:szCs w:val="26"/>
          <w:lang w:val="en-GB" w:eastAsia="de-DE"/>
        </w:rPr>
        <w:t>C1 GPP and NPP from MODIS</w:t>
      </w:r>
    </w:p>
    <w:p w14:paraId="7F178AFE" w14:textId="77777777"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 xml:space="preserve">MODIS GPP is derived from climate and satellite data. It was estimated at 1 km spatial resolution from a light-use efficiency (LUE) model, as part of the operational MODIS algorithms (Running et al., 2004) using meteorological data from NASA Data Assimilation Office and detailed vegetation information (land cover and FPAR) derived from the Moderate Resolution Imaging Spectroradiometer (MODIS) satellite from 2000 to present (Running et al., 2004; Zhao et al., 2005; Turner et al., 2006). </w:t>
      </w:r>
    </w:p>
    <w:p w14:paraId="453C304E" w14:textId="77777777" w:rsidR="004A1A52" w:rsidRPr="00D114E3" w:rsidRDefault="004A1A52" w:rsidP="004A1A52">
      <w:pPr>
        <w:keepNext/>
        <w:spacing w:before="180" w:after="240"/>
        <w:jc w:val="both"/>
        <w:outlineLvl w:val="2"/>
        <w:rPr>
          <w:rFonts w:ascii="Times New Roman" w:eastAsia="Times New Roman" w:hAnsi="Times New Roman" w:cs="Arial"/>
          <w:b/>
          <w:bCs/>
          <w:sz w:val="20"/>
          <w:szCs w:val="26"/>
          <w:lang w:val="en-GB" w:eastAsia="de-DE"/>
        </w:rPr>
      </w:pPr>
      <w:r w:rsidRPr="00D114E3">
        <w:rPr>
          <w:rFonts w:ascii="Times New Roman" w:eastAsia="Times New Roman" w:hAnsi="Times New Roman" w:cs="Arial"/>
          <w:b/>
          <w:bCs/>
          <w:sz w:val="20"/>
          <w:szCs w:val="26"/>
          <w:lang w:val="en-GB" w:eastAsia="de-DE"/>
        </w:rPr>
        <w:t>C2 MTE GPP</w:t>
      </w:r>
    </w:p>
    <w:p w14:paraId="3115E7E5" w14:textId="77777777"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MTE GPP is a data-oriented product derived by extrapolating the GPP estimates from a network of flux-tower of 178 sites in space and time using climate data and remotely sensed fAPAR data from 1982 to 2008 (Jung et al., 2009). This latter monthly GPP product covers the period 1982-2011 at 0.5° spatial resolution, but many of the underlying flux tower observations cover much shorter periods.</w:t>
      </w:r>
    </w:p>
    <w:p w14:paraId="306E0194" w14:textId="77777777" w:rsidR="004A1A52" w:rsidRPr="00D114E3" w:rsidRDefault="004A1A52" w:rsidP="004A1A52">
      <w:pPr>
        <w:keepNext/>
        <w:spacing w:before="180" w:after="240"/>
        <w:jc w:val="both"/>
        <w:outlineLvl w:val="2"/>
        <w:rPr>
          <w:rFonts w:ascii="Times New Roman" w:eastAsia="Times New Roman" w:hAnsi="Times New Roman" w:cs="Arial"/>
          <w:b/>
          <w:bCs/>
          <w:sz w:val="20"/>
          <w:szCs w:val="26"/>
          <w:lang w:val="en-GB" w:eastAsia="de-DE"/>
        </w:rPr>
      </w:pPr>
      <w:r w:rsidRPr="00D114E3">
        <w:rPr>
          <w:rFonts w:ascii="Times New Roman" w:eastAsia="Times New Roman" w:hAnsi="Times New Roman" w:cs="Arial"/>
          <w:b/>
          <w:bCs/>
          <w:sz w:val="20"/>
          <w:szCs w:val="26"/>
          <w:lang w:val="en-GB" w:eastAsia="de-DE"/>
        </w:rPr>
        <w:lastRenderedPageBreak/>
        <w:t>C3 BESS-GPP</w:t>
      </w:r>
    </w:p>
    <w:p w14:paraId="073F45E3" w14:textId="77777777"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Breathing Earth System Simulator (BESS) is a simplified process-based model that couples atmosphere and canopy radiative transfers, canopy photosynthesis, transpiration, and energy balance. This process-based model uses the MODIS Atmosphere products to calculate atmospheric radiative transfer. This product provides gridded GPP on a monthly scale from 2000-2015 at 0.5° spatial resolution.</w:t>
      </w:r>
    </w:p>
    <w:p w14:paraId="2168D502" w14:textId="77777777" w:rsidR="004A1A52" w:rsidRPr="00D114E3" w:rsidRDefault="004A1A52" w:rsidP="004A1A52">
      <w:pPr>
        <w:keepNext/>
        <w:spacing w:before="180" w:after="240"/>
        <w:jc w:val="both"/>
        <w:outlineLvl w:val="2"/>
        <w:rPr>
          <w:rFonts w:ascii="Times New Roman" w:eastAsia="Times New Roman" w:hAnsi="Times New Roman" w:cs="Arial"/>
          <w:b/>
          <w:bCs/>
          <w:sz w:val="20"/>
          <w:szCs w:val="26"/>
          <w:lang w:val="en-GB" w:eastAsia="de-DE"/>
        </w:rPr>
      </w:pPr>
      <w:r w:rsidRPr="00D114E3">
        <w:rPr>
          <w:rFonts w:ascii="Times New Roman" w:eastAsia="Times New Roman" w:hAnsi="Times New Roman" w:cs="Arial"/>
          <w:b/>
          <w:bCs/>
          <w:sz w:val="20"/>
          <w:szCs w:val="26"/>
          <w:lang w:val="en-GB" w:eastAsia="de-DE"/>
        </w:rPr>
        <w:t>C4 BETHY-NPP</w:t>
      </w:r>
    </w:p>
    <w:p w14:paraId="4DC06267" w14:textId="77777777"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Biosphere Energy-Transfer Hydrology (BETHY)/DLR is a Soil-Vegetation-Atmosphere (SVAT) model to simulate photosynthesis of terrestrial ecosystems, which is operated at the German Aerospace Center (DLR). It was adapted from the BETHY scheme to be driven by remote sensing data (leaf area index (LAI) and land cover information) and meteorology (Wißkirchen et al., 2013). This product provides gridded global NPP on a monthly scale from 2000-2009 at 0.008° spatial resolution.</w:t>
      </w:r>
    </w:p>
    <w:p w14:paraId="688BD77E" w14:textId="77777777" w:rsidR="004A1A52" w:rsidRPr="004A5AF1" w:rsidRDefault="004A1A52" w:rsidP="004A1A52">
      <w:pPr>
        <w:keepNext/>
        <w:spacing w:before="240" w:after="240"/>
        <w:jc w:val="both"/>
        <w:outlineLvl w:val="2"/>
        <w:rPr>
          <w:rFonts w:ascii="Times New Roman" w:eastAsia="Times New Roman" w:hAnsi="Times New Roman" w:cs="Arial"/>
          <w:b/>
          <w:bCs/>
          <w:sz w:val="20"/>
          <w:szCs w:val="26"/>
        </w:rPr>
      </w:pPr>
      <w:r w:rsidRPr="00D114E3">
        <w:rPr>
          <w:rFonts w:ascii="Times New Roman" w:eastAsia="Times New Roman" w:hAnsi="Times New Roman" w:cs="Arial"/>
          <w:b/>
          <w:bCs/>
          <w:sz w:val="20"/>
          <w:szCs w:val="26"/>
          <w:lang w:val="en-GB" w:eastAsia="de-DE"/>
        </w:rPr>
        <w:t>C5 GIMMS-NPP</w:t>
      </w:r>
    </w:p>
    <w:p w14:paraId="57D6E0F4" w14:textId="77777777"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 xml:space="preserve">GIMMS-NPP is a NPP product derived from the MODIS NPP algorithm driven by long-term Global Inventory Modeling and Mapping Studies (GIMMS) FPAR and LAI data (Smith et al., 2016). The uncertainty bounds were given by using a wide range of parameter combinations. This global satellite-derived NPP is available from 1982-2011 with a spatial resolution of 0.5° x 0.5°. </w:t>
      </w:r>
    </w:p>
    <w:p w14:paraId="6980C4DC" w14:textId="77777777" w:rsidR="004A1A52" w:rsidRPr="00D114E3" w:rsidRDefault="004A1A52" w:rsidP="004A1A52">
      <w:pPr>
        <w:keepNext/>
        <w:spacing w:before="240" w:after="240"/>
        <w:jc w:val="both"/>
        <w:outlineLvl w:val="2"/>
        <w:rPr>
          <w:rFonts w:ascii="Times New Roman" w:eastAsia="Times New Roman" w:hAnsi="Times New Roman" w:cs="Arial"/>
          <w:b/>
          <w:bCs/>
          <w:sz w:val="20"/>
          <w:szCs w:val="26"/>
          <w:lang w:val="en-GB" w:eastAsia="de-DE"/>
        </w:rPr>
      </w:pPr>
      <w:r w:rsidRPr="00D114E3">
        <w:rPr>
          <w:rFonts w:ascii="Times New Roman" w:eastAsia="Times New Roman" w:hAnsi="Times New Roman" w:cs="Arial"/>
          <w:b/>
          <w:bCs/>
          <w:sz w:val="20"/>
          <w:szCs w:val="26"/>
          <w:lang w:val="en-GB" w:eastAsia="de-DE"/>
        </w:rPr>
        <w:t>C6 Net biome productivity from GCP and inversion data</w:t>
      </w:r>
    </w:p>
    <w:p w14:paraId="0C0D0C0F" w14:textId="77777777"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Estimates are based on 16 DGVMs involved in GCP Trendy v6 were forced by CRU-NCEP temperature, precipitation, and cloud cover fields (transformed into incoming surface radiation) based on observations and provided on a 0.5° × 0.5° grid and updated to 2016. We compared ORCHIDEE-CNP with Trendy v6 simulations instead of v7 because ORCHIDEE-CNP was part of the v7 ensemble.</w:t>
      </w:r>
    </w:p>
    <w:p w14:paraId="6B9450A5" w14:textId="77777777"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We used three sets of CO</w:t>
      </w:r>
      <w:r w:rsidRPr="00D114E3">
        <w:rPr>
          <w:rFonts w:ascii="Times New Roman" w:eastAsia="宋体" w:hAnsi="Times New Roman" w:cs="Times New Roman"/>
          <w:vertAlign w:val="subscript"/>
        </w:rPr>
        <w:t>2</w:t>
      </w:r>
      <w:r w:rsidRPr="00D114E3">
        <w:rPr>
          <w:rFonts w:ascii="Times New Roman" w:eastAsia="宋体" w:hAnsi="Times New Roman" w:cs="Times New Roman"/>
        </w:rPr>
        <w:t xml:space="preserve"> inversion data from CarbonTracker (van der Laan-Luijkx et al., 2017), Jena CarboScope (</w:t>
      </w:r>
      <w:r w:rsidRPr="00904FC9">
        <w:rPr>
          <w:rFonts w:ascii="Times New Roman" w:eastAsia="宋体" w:hAnsi="Times New Roman" w:cs="Times New Roman"/>
        </w:rPr>
        <w:t>Rödenbeck</w:t>
      </w:r>
      <w:r w:rsidRPr="00D114E3">
        <w:rPr>
          <w:rFonts w:ascii="Times New Roman" w:eastAsia="宋体" w:hAnsi="Times New Roman" w:cs="Times New Roman"/>
        </w:rPr>
        <w:t>, 2005), and CAMS (Chevallier et al., 2005). They all used atmospheric inversion methods (based on the same Bayesian inversion principles) and atmospheric CO</w:t>
      </w:r>
      <w:r w:rsidRPr="00D114E3">
        <w:rPr>
          <w:rFonts w:ascii="Times New Roman" w:eastAsia="宋体" w:hAnsi="Times New Roman" w:cs="Times New Roman"/>
          <w:vertAlign w:val="subscript"/>
        </w:rPr>
        <w:t>2</w:t>
      </w:r>
      <w:r w:rsidRPr="00D114E3">
        <w:rPr>
          <w:rFonts w:ascii="Times New Roman" w:eastAsia="宋体" w:hAnsi="Times New Roman" w:cs="Times New Roman"/>
        </w:rPr>
        <w:t xml:space="preserve"> observations from various flask and in situ networks to constrain the location of the combined total surface CO</w:t>
      </w:r>
      <w:r w:rsidRPr="00D114E3">
        <w:rPr>
          <w:rFonts w:ascii="Times New Roman" w:eastAsia="宋体" w:hAnsi="Times New Roman" w:cs="Times New Roman"/>
          <w:vertAlign w:val="subscript"/>
        </w:rPr>
        <w:t>2</w:t>
      </w:r>
      <w:r w:rsidRPr="00D114E3">
        <w:rPr>
          <w:rFonts w:ascii="Times New Roman" w:eastAsia="宋体" w:hAnsi="Times New Roman" w:cs="Times New Roman"/>
        </w:rPr>
        <w:t xml:space="preserve"> fluxes from all sources. The three systems used different transport models, which was demonstrated to be a driving factor behind differences in atmospheric-based flux estimates, and specifically for the global distribution (Stephens et al., 2007).</w:t>
      </w:r>
    </w:p>
    <w:p w14:paraId="33E6C8CC" w14:textId="77777777" w:rsidR="004A1A52" w:rsidRPr="00D114E3" w:rsidRDefault="004A1A52" w:rsidP="004A1A52">
      <w:pPr>
        <w:keepNext/>
        <w:spacing w:before="240" w:after="240"/>
        <w:jc w:val="both"/>
        <w:outlineLvl w:val="1"/>
        <w:rPr>
          <w:rFonts w:ascii="Times New Roman" w:eastAsia="Times New Roman" w:hAnsi="Times New Roman" w:cs="Arial"/>
          <w:b/>
          <w:bCs/>
          <w:iCs/>
          <w:sz w:val="20"/>
          <w:szCs w:val="28"/>
          <w:lang w:val="en-GB" w:eastAsia="de-DE"/>
        </w:rPr>
      </w:pPr>
      <w:r w:rsidRPr="00D114E3">
        <w:rPr>
          <w:rFonts w:ascii="Times New Roman" w:eastAsia="Times New Roman" w:hAnsi="Times New Roman" w:cs="Arial"/>
          <w:b/>
          <w:bCs/>
          <w:iCs/>
          <w:sz w:val="20"/>
          <w:szCs w:val="28"/>
          <w:lang w:val="en-GB" w:eastAsia="de-DE"/>
        </w:rPr>
        <w:t>D: Evaluation datasets for the N and P budget</w:t>
      </w:r>
    </w:p>
    <w:p w14:paraId="37B20184" w14:textId="77777777" w:rsidR="004A1A52" w:rsidRPr="00D114E3" w:rsidRDefault="004A1A52" w:rsidP="004A1A52">
      <w:pPr>
        <w:keepNext/>
        <w:spacing w:before="240" w:after="240"/>
        <w:jc w:val="both"/>
        <w:outlineLvl w:val="2"/>
        <w:rPr>
          <w:rFonts w:ascii="Times New Roman" w:eastAsia="Times New Roman" w:hAnsi="Times New Roman" w:cs="Arial"/>
          <w:b/>
          <w:bCs/>
          <w:sz w:val="20"/>
          <w:szCs w:val="26"/>
          <w:lang w:val="en-GB" w:eastAsia="de-DE"/>
        </w:rPr>
      </w:pPr>
      <w:r w:rsidRPr="00D114E3">
        <w:rPr>
          <w:rFonts w:ascii="Times New Roman" w:eastAsia="Times New Roman" w:hAnsi="Times New Roman" w:cs="Arial"/>
          <w:b/>
          <w:bCs/>
          <w:sz w:val="20"/>
          <w:szCs w:val="26"/>
          <w:lang w:val="en-GB" w:eastAsia="de-DE"/>
        </w:rPr>
        <w:t>D1 Biological Nitrogen fixation (BNF) from Peng et al. (2019)</w:t>
      </w:r>
    </w:p>
    <w:p w14:paraId="42F102C3" w14:textId="77777777"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 xml:space="preserve">We used the global gridded BNF (both symbiotic and asymbiotic) from Peng et al., (2019) for 2001-2010. They calculated BNF as a function of soil N, LAI, labile inorganic soil P, temperature, etc (Wang et al., 2007; Houlton et al., 2008) which were constrained by the observation-based estimates of C:N ratios of the various plant pools, soil microbial biomass and organic matter under present conditions. </w:t>
      </w:r>
    </w:p>
    <w:p w14:paraId="3303DC91" w14:textId="77777777" w:rsidR="004A1A52" w:rsidRPr="00D114E3" w:rsidRDefault="004A1A52" w:rsidP="004A1A52">
      <w:pPr>
        <w:keepNext/>
        <w:spacing w:before="240" w:after="240"/>
        <w:jc w:val="both"/>
        <w:outlineLvl w:val="2"/>
        <w:rPr>
          <w:rFonts w:ascii="Times New Roman" w:eastAsia="Times New Roman" w:hAnsi="Times New Roman" w:cs="Arial"/>
          <w:b/>
          <w:bCs/>
          <w:sz w:val="20"/>
          <w:szCs w:val="26"/>
          <w:lang w:val="en-GB" w:eastAsia="de-DE"/>
        </w:rPr>
      </w:pPr>
      <w:r w:rsidRPr="00D114E3">
        <w:rPr>
          <w:rFonts w:ascii="Times New Roman" w:eastAsia="Times New Roman" w:hAnsi="Times New Roman" w:cs="Arial"/>
          <w:b/>
          <w:bCs/>
          <w:sz w:val="20"/>
          <w:szCs w:val="26"/>
          <w:lang w:val="en-GB" w:eastAsia="de-DE"/>
        </w:rPr>
        <w:lastRenderedPageBreak/>
        <w:t>D2 N and P loads to rivers on basin scale by GlobalNEWS2 model</w:t>
      </w:r>
    </w:p>
    <w:p w14:paraId="36316577" w14:textId="77777777"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Global Nutrient Export from Water-Sheds (GLOBNEWS) model generates global spatially explicit of N and P exports by rivers based on a mass-balance approach for the land surface (watershed) and river system for year 2000 (Mayorga et al., 2010).</w:t>
      </w:r>
    </w:p>
    <w:p w14:paraId="200E6850" w14:textId="77777777" w:rsidR="004A1A52" w:rsidRPr="00D114E3" w:rsidRDefault="004A1A52" w:rsidP="004A1A52">
      <w:pPr>
        <w:keepNext/>
        <w:spacing w:before="240" w:after="240"/>
        <w:jc w:val="both"/>
        <w:outlineLvl w:val="2"/>
        <w:rPr>
          <w:rFonts w:ascii="Times New Roman" w:eastAsia="Times New Roman" w:hAnsi="Times New Roman" w:cs="Arial"/>
          <w:b/>
          <w:bCs/>
          <w:sz w:val="20"/>
          <w:szCs w:val="26"/>
          <w:lang w:val="en-GB" w:eastAsia="de-DE"/>
        </w:rPr>
      </w:pPr>
      <w:r w:rsidRPr="00D114E3">
        <w:rPr>
          <w:rFonts w:ascii="Times New Roman" w:eastAsia="Times New Roman" w:hAnsi="Times New Roman" w:cs="Arial"/>
          <w:b/>
          <w:bCs/>
          <w:sz w:val="20"/>
          <w:szCs w:val="26"/>
          <w:lang w:val="en-GB" w:eastAsia="de-DE"/>
        </w:rPr>
        <w:t>D3 Inorganic P turnover rate</w:t>
      </w:r>
    </w:p>
    <w:p w14:paraId="63C495FC" w14:textId="77777777"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Soil solution P turnover (Km) were derived from isotopic exchange kinetic (IEK) experiments and aggregated on soil order level (Helfenstein et al., 2018).</w:t>
      </w:r>
    </w:p>
    <w:p w14:paraId="07BAC4FC" w14:textId="77777777" w:rsidR="004A1A52" w:rsidRPr="00D114E3" w:rsidRDefault="004A1A52" w:rsidP="004A1A52">
      <w:pPr>
        <w:keepNext/>
        <w:spacing w:before="240" w:after="240"/>
        <w:jc w:val="both"/>
        <w:outlineLvl w:val="2"/>
        <w:rPr>
          <w:rFonts w:ascii="Times New Roman" w:eastAsia="Times New Roman" w:hAnsi="Times New Roman" w:cs="Arial"/>
          <w:b/>
          <w:bCs/>
          <w:sz w:val="20"/>
          <w:szCs w:val="26"/>
          <w:lang w:val="en-GB" w:eastAsia="de-DE"/>
        </w:rPr>
      </w:pPr>
      <w:r w:rsidRPr="00D114E3">
        <w:rPr>
          <w:rFonts w:ascii="Times New Roman" w:eastAsia="Times New Roman" w:hAnsi="Times New Roman" w:cs="Arial"/>
          <w:b/>
          <w:bCs/>
          <w:sz w:val="20"/>
          <w:szCs w:val="26"/>
          <w:lang w:val="en-GB" w:eastAsia="de-DE"/>
        </w:rPr>
        <w:t>D4 Data-driven acid phosphatase activity</w:t>
      </w:r>
    </w:p>
    <w:p w14:paraId="2323A242" w14:textId="77777777"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This global metric is an extrapolation of 126 European site observations of potential acid phosphatase activity from field samples by using back-propagation artificial network 12 environmental drivers as predictors (Sun et al., 2020).</w:t>
      </w:r>
    </w:p>
    <w:p w14:paraId="291485FC" w14:textId="77777777" w:rsidR="004A1A52" w:rsidRPr="00D114E3" w:rsidRDefault="004A1A52" w:rsidP="004A1A52">
      <w:pPr>
        <w:keepNext/>
        <w:spacing w:before="240" w:after="240"/>
        <w:jc w:val="both"/>
        <w:outlineLvl w:val="1"/>
        <w:rPr>
          <w:rFonts w:ascii="Times New Roman" w:eastAsia="Times New Roman" w:hAnsi="Times New Roman" w:cs="Arial"/>
          <w:b/>
          <w:bCs/>
          <w:iCs/>
          <w:sz w:val="20"/>
          <w:szCs w:val="28"/>
          <w:lang w:val="en-GB" w:eastAsia="de-DE"/>
        </w:rPr>
      </w:pPr>
      <w:r w:rsidRPr="00D114E3">
        <w:rPr>
          <w:rFonts w:ascii="Times New Roman" w:eastAsia="Times New Roman" w:hAnsi="Times New Roman" w:cs="Arial"/>
          <w:b/>
          <w:bCs/>
          <w:iCs/>
          <w:sz w:val="20"/>
          <w:szCs w:val="28"/>
          <w:lang w:val="en-GB" w:eastAsia="de-DE"/>
        </w:rPr>
        <w:t>E: Evaluation datasets for leaf stoichiometry and resource use efficiencies</w:t>
      </w:r>
    </w:p>
    <w:p w14:paraId="1364DD61" w14:textId="77777777" w:rsidR="004A1A52" w:rsidRPr="00D114E3" w:rsidRDefault="004A1A52" w:rsidP="004A1A52">
      <w:pPr>
        <w:keepNext/>
        <w:spacing w:before="240" w:after="240"/>
        <w:jc w:val="both"/>
        <w:outlineLvl w:val="2"/>
        <w:rPr>
          <w:rFonts w:ascii="Times New Roman" w:eastAsia="Times New Roman" w:hAnsi="Times New Roman" w:cs="Arial"/>
          <w:b/>
          <w:bCs/>
          <w:sz w:val="20"/>
          <w:szCs w:val="26"/>
          <w:lang w:val="en-GB" w:eastAsia="de-DE"/>
        </w:rPr>
      </w:pPr>
      <w:r w:rsidRPr="00D114E3">
        <w:rPr>
          <w:rFonts w:ascii="Times New Roman" w:eastAsia="Times New Roman" w:hAnsi="Times New Roman" w:cs="Arial"/>
          <w:b/>
          <w:bCs/>
          <w:sz w:val="20"/>
          <w:szCs w:val="26"/>
          <w:lang w:val="en-GB" w:eastAsia="de-DE"/>
        </w:rPr>
        <w:t>E1 Gridded leaf N:P ratios</w:t>
      </w:r>
    </w:p>
    <w:p w14:paraId="1F8D9AFF" w14:textId="77777777"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Global maps of leaf N and P concentrations datasets (Butler et al., 2017) were derived from global plant trait database Bayesian modeling. We used 100 sets of estimates of leaf N and P concentrations provided by Butler et al. (2017) to generate 10000 sets of global gridded leaf N:P ratio. Mean values and 25%~75% percentiles of leaf N:P ratios over those 10000 datasets were used to evaluate leaf N:P ratios by ORCHIDEE-CNP.</w:t>
      </w:r>
    </w:p>
    <w:p w14:paraId="167FEA6D" w14:textId="77777777" w:rsidR="004A1A52" w:rsidRPr="00D114E3" w:rsidRDefault="004A1A52" w:rsidP="004A1A52">
      <w:pPr>
        <w:keepNext/>
        <w:spacing w:before="240" w:after="240"/>
        <w:jc w:val="both"/>
        <w:outlineLvl w:val="2"/>
        <w:rPr>
          <w:rFonts w:ascii="Times New Roman" w:eastAsia="Times New Roman" w:hAnsi="Times New Roman" w:cs="Arial"/>
          <w:b/>
          <w:bCs/>
          <w:sz w:val="20"/>
          <w:szCs w:val="26"/>
          <w:lang w:val="en-GB" w:eastAsia="de-DE"/>
        </w:rPr>
      </w:pPr>
      <w:r w:rsidRPr="00D114E3">
        <w:rPr>
          <w:rFonts w:ascii="Times New Roman" w:eastAsia="Times New Roman" w:hAnsi="Times New Roman" w:cs="Arial"/>
          <w:b/>
          <w:bCs/>
          <w:sz w:val="20"/>
          <w:szCs w:val="26"/>
          <w:lang w:val="en-GB" w:eastAsia="de-DE"/>
        </w:rPr>
        <w:t>E2 Remote-sensing fAPAP and PAR datasets</w:t>
      </w:r>
    </w:p>
    <w:p w14:paraId="44511D81" w14:textId="77777777"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Global SeaWiFS Level-3 generates estimate of the Fraction of Absorbed Photosynthetically Active Radiation (FAPAR) over the land surface through an optimized index which values are computed on the basis of top of atmosphere bidirectional reflectance factor values, as well as information on the geometry of illumination and observation (Gobron et al., 2006a, b). This dataset is available for period 1997-2006 with spatial resolution of 0.01</w:t>
      </w:r>
      <w:r w:rsidRPr="00D114E3">
        <w:rPr>
          <w:rFonts w:ascii="Times New Roman" w:eastAsia="宋体" w:hAnsi="Times New Roman" w:cs="Times New Roman"/>
          <w:vertAlign w:val="superscript"/>
        </w:rPr>
        <w:t>o</w:t>
      </w:r>
      <w:r w:rsidRPr="00D114E3">
        <w:rPr>
          <w:rFonts w:ascii="Times New Roman" w:eastAsia="宋体" w:hAnsi="Times New Roman" w:cs="Times New Roman"/>
        </w:rPr>
        <w:t>.</w:t>
      </w:r>
    </w:p>
    <w:p w14:paraId="76E5C9C2" w14:textId="77777777" w:rsidR="004A1A52" w:rsidRPr="00D114E3" w:rsidRDefault="004A1A52" w:rsidP="004A1A52">
      <w:pPr>
        <w:keepNext/>
        <w:spacing w:before="240" w:after="240"/>
        <w:jc w:val="both"/>
        <w:outlineLvl w:val="2"/>
        <w:rPr>
          <w:rFonts w:ascii="Times New Roman" w:eastAsia="Times New Roman" w:hAnsi="Times New Roman" w:cs="Arial"/>
          <w:b/>
          <w:bCs/>
          <w:sz w:val="20"/>
          <w:szCs w:val="26"/>
          <w:lang w:val="en-GB" w:eastAsia="de-DE"/>
        </w:rPr>
      </w:pPr>
      <w:r w:rsidRPr="00D114E3">
        <w:rPr>
          <w:rFonts w:ascii="Times New Roman" w:eastAsia="Times New Roman" w:hAnsi="Times New Roman" w:cs="Arial"/>
          <w:b/>
          <w:bCs/>
          <w:sz w:val="20"/>
          <w:szCs w:val="26"/>
          <w:lang w:val="en-GB" w:eastAsia="de-DE"/>
        </w:rPr>
        <w:t>E3 Evapotranspiration and GPP from MTE</w:t>
      </w:r>
    </w:p>
    <w:p w14:paraId="687A06E5" w14:textId="223B77AF"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MTE-ET is data-oriented product derived by extrapolating the flux-tower observations from 4678 sites in space and time using climate data and remotely sensed data from 1982 to 2008 (Jung et al., 201</w:t>
      </w:r>
      <w:r w:rsidR="00102215">
        <w:rPr>
          <w:rFonts w:ascii="Times New Roman" w:eastAsia="宋体" w:hAnsi="Times New Roman" w:cs="Times New Roman"/>
        </w:rPr>
        <w:t>1</w:t>
      </w:r>
      <w:r w:rsidRPr="00D114E3">
        <w:rPr>
          <w:rFonts w:ascii="Times New Roman" w:eastAsia="宋体" w:hAnsi="Times New Roman" w:cs="Times New Roman"/>
        </w:rPr>
        <w:t>). This latter monthly GPP product now covers the period 1982-2011 at 0.5° spatial resolution, but many of the flux tower observations only cover much shorter periods.</w:t>
      </w:r>
    </w:p>
    <w:p w14:paraId="2C675CEE" w14:textId="77777777" w:rsidR="004A1A52" w:rsidRPr="00D114E3" w:rsidRDefault="004A1A52" w:rsidP="004A1A52">
      <w:pPr>
        <w:keepNext/>
        <w:spacing w:before="240" w:after="240"/>
        <w:jc w:val="both"/>
        <w:outlineLvl w:val="1"/>
        <w:rPr>
          <w:rFonts w:ascii="Times New Roman" w:eastAsia="Times New Roman" w:hAnsi="Times New Roman" w:cs="Arial"/>
          <w:b/>
          <w:bCs/>
          <w:iCs/>
          <w:sz w:val="20"/>
          <w:szCs w:val="28"/>
          <w:lang w:val="en-GB" w:eastAsia="de-DE"/>
        </w:rPr>
      </w:pPr>
      <w:r w:rsidRPr="00D114E3">
        <w:rPr>
          <w:rFonts w:ascii="Times New Roman" w:eastAsia="Times New Roman" w:hAnsi="Times New Roman" w:cs="Arial"/>
          <w:b/>
          <w:bCs/>
          <w:iCs/>
          <w:sz w:val="20"/>
          <w:szCs w:val="28"/>
          <w:lang w:val="en-GB" w:eastAsia="de-DE"/>
        </w:rPr>
        <w:t>F: Evaluation datasets for LAI</w:t>
      </w:r>
    </w:p>
    <w:p w14:paraId="1464D2DB" w14:textId="77777777"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The GIMMS-LAI3g data were derived from the Global Inventory Modeling and Mapping Studies (GIMMS) Normalized Differential Vegetation Index (NDVI) using the neural network algorithm (Zhu et al., 2013). This monthly dataset is available for period 1982-2015 with spatial resolution of 1/12 degree.</w:t>
      </w:r>
    </w:p>
    <w:p w14:paraId="7AF9DE77" w14:textId="77777777" w:rsidR="004A1A52" w:rsidRPr="00D114E3" w:rsidRDefault="004A1A52" w:rsidP="004A1A52">
      <w:pPr>
        <w:keepNext/>
        <w:spacing w:before="240" w:after="240"/>
        <w:jc w:val="both"/>
        <w:outlineLvl w:val="1"/>
        <w:rPr>
          <w:rFonts w:ascii="Times New Roman" w:eastAsia="Times New Roman" w:hAnsi="Times New Roman" w:cs="Arial"/>
          <w:b/>
          <w:bCs/>
          <w:iCs/>
          <w:sz w:val="20"/>
          <w:szCs w:val="28"/>
          <w:lang w:val="en-GB" w:eastAsia="de-DE"/>
        </w:rPr>
      </w:pPr>
      <w:r w:rsidRPr="00D114E3">
        <w:rPr>
          <w:rFonts w:ascii="Times New Roman" w:eastAsia="Times New Roman" w:hAnsi="Times New Roman" w:cs="Arial"/>
          <w:b/>
          <w:bCs/>
          <w:iCs/>
          <w:sz w:val="20"/>
          <w:szCs w:val="28"/>
          <w:lang w:val="en-GB" w:eastAsia="de-DE"/>
        </w:rPr>
        <w:t>G: Evaluation datasets for forest above-ground biomass</w:t>
      </w:r>
    </w:p>
    <w:p w14:paraId="5ED8834C" w14:textId="51A9C885"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The GlobBiomass dataset of above-groun</w:t>
      </w:r>
      <w:r w:rsidR="0064240C">
        <w:rPr>
          <w:rFonts w:ascii="Times New Roman" w:eastAsia="宋体" w:hAnsi="Times New Roman" w:cs="Times New Roman"/>
        </w:rPr>
        <w:t>d biomass (AGB) density (Fig.</w:t>
      </w:r>
      <w:r w:rsidR="00D61C67">
        <w:rPr>
          <w:rFonts w:ascii="Times New Roman" w:eastAsia="宋体" w:hAnsi="Times New Roman" w:cs="Times New Roman"/>
        </w:rPr>
        <w:t xml:space="preserve"> S2</w:t>
      </w:r>
      <w:r w:rsidRPr="00D114E3">
        <w:rPr>
          <w:rFonts w:ascii="Times New Roman" w:eastAsia="宋体" w:hAnsi="Times New Roman" w:cs="Times New Roman"/>
        </w:rPr>
        <w:t xml:space="preserve">b) were generated by combining spaceborne Synthetic Aperture Radar (SAR), LiDAR (Light Detection And Ranging) and optical remote sensing observations. This data is available for the year of 2010 </w:t>
      </w:r>
      <w:r w:rsidRPr="00D114E3">
        <w:rPr>
          <w:rFonts w:ascii="Times New Roman" w:eastAsia="宋体" w:hAnsi="Times New Roman" w:cs="Times New Roman"/>
        </w:rPr>
        <w:lastRenderedPageBreak/>
        <w:t>and with a spatial resolution of 100m. The global forest above-ground biomass densit</w:t>
      </w:r>
      <w:r w:rsidR="00D61C67">
        <w:rPr>
          <w:rFonts w:ascii="Times New Roman" w:eastAsia="宋体" w:hAnsi="Times New Roman" w:cs="Times New Roman"/>
        </w:rPr>
        <w:t>y from GEOCARBON project (Fig. S2</w:t>
      </w:r>
      <w:r w:rsidRPr="00D114E3">
        <w:rPr>
          <w:rFonts w:ascii="Times New Roman" w:eastAsia="宋体" w:hAnsi="Times New Roman" w:cs="Times New Roman"/>
        </w:rPr>
        <w:t>c) were generated from three existing datasets (Saatchi et al., 2011; Baccini et al., 2012; Santoro et al., 2015). The AGB estimate at 0.01</w:t>
      </w:r>
      <w:r w:rsidRPr="00D114E3">
        <w:rPr>
          <w:rFonts w:ascii="Times New Roman" w:eastAsia="宋体" w:hAnsi="Times New Roman" w:cs="Times New Roman"/>
          <w:vertAlign w:val="superscript"/>
        </w:rPr>
        <w:t>o</w:t>
      </w:r>
      <w:r w:rsidRPr="00D114E3">
        <w:rPr>
          <w:rFonts w:ascii="Times New Roman" w:eastAsia="宋体" w:hAnsi="Times New Roman" w:cs="Times New Roman"/>
        </w:rPr>
        <w:t xml:space="preserve"> spatial resolution in the tropics was the weighted averages of data used in Saatchi et al. (2011) and Baccini et al. (2012), while that in the temperate and boreal forest corresponds to the biomass estimated in Santoro et al. (2015). These three datasets (i.e. Saatchi, Baccini and Santoro) were based on EO images acquired in different epochs (i.e. year 2000, 2007-2008 and year 2010). Simulated above-ground forest biomass carbon for the year of 2010 is compared with observation-based datasets.</w:t>
      </w:r>
    </w:p>
    <w:p w14:paraId="3331F56B" w14:textId="77777777" w:rsidR="004A1A52" w:rsidRPr="00D114E3" w:rsidRDefault="004A1A52" w:rsidP="004A1A52">
      <w:pPr>
        <w:keepNext/>
        <w:spacing w:before="240" w:after="240"/>
        <w:jc w:val="both"/>
        <w:outlineLvl w:val="1"/>
        <w:rPr>
          <w:rFonts w:ascii="Times New Roman" w:eastAsia="Times New Roman" w:hAnsi="Times New Roman" w:cs="Arial"/>
          <w:b/>
          <w:bCs/>
          <w:iCs/>
          <w:sz w:val="20"/>
          <w:szCs w:val="28"/>
          <w:lang w:val="en-GB" w:eastAsia="de-DE"/>
        </w:rPr>
      </w:pPr>
      <w:r w:rsidRPr="00D114E3">
        <w:rPr>
          <w:rFonts w:ascii="Times New Roman" w:eastAsia="Times New Roman" w:hAnsi="Times New Roman" w:cs="Arial"/>
          <w:b/>
          <w:bCs/>
          <w:iCs/>
          <w:sz w:val="20"/>
          <w:szCs w:val="28"/>
          <w:lang w:val="en-GB" w:eastAsia="de-DE"/>
        </w:rPr>
        <w:t>H: Evaluation datasets for SOC</w:t>
      </w:r>
    </w:p>
    <w:p w14:paraId="1EA0D88C" w14:textId="77777777" w:rsidR="004A1A52" w:rsidRPr="00D114E3" w:rsidRDefault="004A1A52" w:rsidP="004A1A52">
      <w:pPr>
        <w:keepNext/>
        <w:spacing w:before="240" w:after="240"/>
        <w:jc w:val="both"/>
        <w:outlineLvl w:val="2"/>
        <w:rPr>
          <w:rFonts w:ascii="Times New Roman" w:eastAsia="Times New Roman" w:hAnsi="Times New Roman" w:cs="Arial"/>
          <w:b/>
          <w:bCs/>
          <w:sz w:val="20"/>
          <w:szCs w:val="26"/>
          <w:lang w:val="en-GB" w:eastAsia="de-DE"/>
        </w:rPr>
      </w:pPr>
      <w:r w:rsidRPr="00D114E3">
        <w:rPr>
          <w:rFonts w:ascii="Times New Roman" w:eastAsia="Times New Roman" w:hAnsi="Times New Roman" w:cs="Arial"/>
          <w:b/>
          <w:bCs/>
          <w:sz w:val="20"/>
          <w:szCs w:val="26"/>
          <w:lang w:val="en-GB" w:eastAsia="de-DE"/>
        </w:rPr>
        <w:t>H1 Global Soil Dataset for use in Earth System Models (GSDE)</w:t>
      </w:r>
    </w:p>
    <w:p w14:paraId="1BA04210" w14:textId="77777777"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GSDE provides global gridded dataset of soil organic C (SOC) with a spatial resolution of 30 seconds and soil depth of 2.3m. This dataset is constructed based on the Soil Map of the World and various regional and national soil databases, including soil attribute data and soil maps (</w:t>
      </w:r>
      <w:r w:rsidRPr="00512EB6">
        <w:rPr>
          <w:rFonts w:ascii="Times New Roman" w:eastAsia="宋体" w:hAnsi="Times New Roman" w:cs="Times New Roman"/>
        </w:rPr>
        <w:t>Shangguan</w:t>
      </w:r>
      <w:r w:rsidRPr="00D114E3">
        <w:rPr>
          <w:rFonts w:ascii="Times New Roman" w:eastAsia="宋体" w:hAnsi="Times New Roman" w:cs="Times New Roman"/>
        </w:rPr>
        <w:t xml:space="preserve"> et al., 2014).</w:t>
      </w:r>
    </w:p>
    <w:p w14:paraId="6E131310" w14:textId="77777777" w:rsidR="004A1A52" w:rsidRPr="00D114E3" w:rsidRDefault="004A1A52" w:rsidP="004A1A52">
      <w:pPr>
        <w:keepNext/>
        <w:spacing w:before="240" w:after="240"/>
        <w:jc w:val="both"/>
        <w:outlineLvl w:val="2"/>
        <w:rPr>
          <w:rFonts w:ascii="Times New Roman" w:eastAsia="Times New Roman" w:hAnsi="Times New Roman" w:cs="Arial"/>
          <w:b/>
          <w:bCs/>
          <w:sz w:val="20"/>
          <w:szCs w:val="26"/>
          <w:lang w:val="en-GB" w:eastAsia="de-DE"/>
        </w:rPr>
      </w:pPr>
      <w:r w:rsidRPr="00D114E3">
        <w:rPr>
          <w:rFonts w:ascii="Times New Roman" w:eastAsia="Times New Roman" w:hAnsi="Times New Roman" w:cs="Arial"/>
          <w:b/>
          <w:bCs/>
          <w:sz w:val="20"/>
          <w:szCs w:val="26"/>
          <w:lang w:val="en-GB" w:eastAsia="de-DE"/>
        </w:rPr>
        <w:t>H2 SoilGrids</w:t>
      </w:r>
    </w:p>
    <w:p w14:paraId="6CCF2FF1" w14:textId="77777777"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 xml:space="preserve">SoilGrids provides global gridded dataset of SOC with a spatial resolution of 250m and soil depth of 2m. This dataset is extrapolated from over 230 000 soil profile from the WoSIS database by using state-of-the-art machine learning methods (Hengl et al., 2017). </w:t>
      </w:r>
    </w:p>
    <w:p w14:paraId="636F1660" w14:textId="77777777" w:rsidR="004A1A52" w:rsidRPr="00D114E3" w:rsidRDefault="004A1A52" w:rsidP="004A1A52">
      <w:pPr>
        <w:keepNext/>
        <w:spacing w:before="240" w:after="240"/>
        <w:jc w:val="both"/>
        <w:outlineLvl w:val="1"/>
        <w:rPr>
          <w:rFonts w:ascii="Times New Roman" w:eastAsia="Times New Roman" w:hAnsi="Times New Roman" w:cs="Arial"/>
          <w:b/>
          <w:bCs/>
          <w:iCs/>
          <w:sz w:val="20"/>
          <w:szCs w:val="28"/>
          <w:lang w:val="en-GB" w:eastAsia="de-DE"/>
        </w:rPr>
      </w:pPr>
      <w:r w:rsidRPr="00D114E3">
        <w:rPr>
          <w:rFonts w:ascii="Times New Roman" w:eastAsia="Times New Roman" w:hAnsi="Times New Roman" w:cs="Arial"/>
          <w:b/>
          <w:bCs/>
          <w:iCs/>
          <w:sz w:val="20"/>
          <w:szCs w:val="28"/>
          <w:lang w:val="en-GB" w:eastAsia="de-DE"/>
        </w:rPr>
        <w:t>I: sensitivity of GPP anomalies to anomalies of mean annual temperature (S</w:t>
      </w:r>
      <w:r w:rsidRPr="00D114E3">
        <w:rPr>
          <w:rFonts w:ascii="Times New Roman" w:eastAsia="Times New Roman" w:hAnsi="Times New Roman" w:cs="Arial"/>
          <w:b/>
          <w:bCs/>
          <w:iCs/>
          <w:sz w:val="20"/>
          <w:szCs w:val="28"/>
          <w:vertAlign w:val="subscript"/>
          <w:lang w:val="en-GB" w:eastAsia="de-DE"/>
        </w:rPr>
        <w:t>T</w:t>
      </w:r>
      <w:r w:rsidRPr="00D114E3">
        <w:rPr>
          <w:rFonts w:ascii="Times New Roman" w:eastAsia="Times New Roman" w:hAnsi="Times New Roman" w:cs="Arial"/>
          <w:b/>
          <w:bCs/>
          <w:iCs/>
          <w:sz w:val="20"/>
          <w:szCs w:val="28"/>
          <w:lang w:val="en-GB" w:eastAsia="de-DE"/>
        </w:rPr>
        <w:t>), annual precipitation (S</w:t>
      </w:r>
      <w:r w:rsidRPr="00D114E3">
        <w:rPr>
          <w:rFonts w:ascii="Times New Roman" w:eastAsia="Times New Roman" w:hAnsi="Times New Roman" w:cs="Arial"/>
          <w:b/>
          <w:bCs/>
          <w:iCs/>
          <w:sz w:val="20"/>
          <w:szCs w:val="28"/>
          <w:vertAlign w:val="subscript"/>
          <w:lang w:val="en-GB" w:eastAsia="de-DE"/>
        </w:rPr>
        <w:t>P</w:t>
      </w:r>
      <w:r w:rsidRPr="00D114E3">
        <w:rPr>
          <w:rFonts w:ascii="Times New Roman" w:eastAsia="Times New Roman" w:hAnsi="Times New Roman" w:cs="Arial"/>
          <w:b/>
          <w:bCs/>
          <w:iCs/>
          <w:sz w:val="20"/>
          <w:szCs w:val="28"/>
          <w:lang w:val="en-GB" w:eastAsia="de-DE"/>
        </w:rPr>
        <w:t>) and shortwave radiation (S</w:t>
      </w:r>
      <w:r w:rsidRPr="00D114E3">
        <w:rPr>
          <w:rFonts w:ascii="Times New Roman" w:eastAsia="Times New Roman" w:hAnsi="Times New Roman" w:cs="Arial"/>
          <w:b/>
          <w:bCs/>
          <w:iCs/>
          <w:sz w:val="20"/>
          <w:szCs w:val="28"/>
          <w:vertAlign w:val="subscript"/>
          <w:lang w:val="en-GB" w:eastAsia="de-DE"/>
        </w:rPr>
        <w:t>R</w:t>
      </w:r>
      <w:r w:rsidRPr="00D114E3">
        <w:rPr>
          <w:rFonts w:ascii="Times New Roman" w:eastAsia="Times New Roman" w:hAnsi="Times New Roman" w:cs="Arial"/>
          <w:b/>
          <w:bCs/>
          <w:iCs/>
          <w:sz w:val="20"/>
          <w:szCs w:val="28"/>
          <w:lang w:val="en-GB" w:eastAsia="de-DE"/>
        </w:rPr>
        <w:t>)</w:t>
      </w:r>
    </w:p>
    <w:p w14:paraId="37BA5B62" w14:textId="77777777" w:rsidR="004A1A52" w:rsidRPr="00D114E3" w:rsidRDefault="004A1A52" w:rsidP="004A1A52">
      <w:pPr>
        <w:spacing w:before="180"/>
        <w:jc w:val="both"/>
        <w:rPr>
          <w:rFonts w:ascii="Times New Roman" w:eastAsia="宋体" w:hAnsi="Times New Roman" w:cs="Times New Roman"/>
        </w:rPr>
      </w:pPr>
      <w:r w:rsidRPr="00D114E3">
        <w:rPr>
          <w:rFonts w:ascii="Times New Roman" w:eastAsia="宋体" w:hAnsi="Times New Roman" w:cs="Times New Roman"/>
        </w:rPr>
        <w:t>In this study, we estimated the response of GPP to climate variability by employing the multiple regression approach from Piao et al. (2013):</w:t>
      </w:r>
    </w:p>
    <w:p w14:paraId="035097C5" w14:textId="77777777" w:rsidR="004A1A52" w:rsidRPr="00D114E3" w:rsidRDefault="004A1A52" w:rsidP="004A1A52">
      <w:pPr>
        <w:spacing w:before="180"/>
        <w:jc w:val="both"/>
        <w:rPr>
          <w:rFonts w:ascii="Cambria Math" w:eastAsia="Cambria Math" w:hAnsi="Cambria Math" w:cs="Cambria Math"/>
        </w:rPr>
      </w:pPr>
      <m:oMath>
        <m:r>
          <w:rPr>
            <w:rFonts w:ascii="Cambria Math" w:eastAsia="Cambria Math" w:hAnsi="Cambria Math" w:cs="Cambria Math"/>
          </w:rPr>
          <m:t>y=</m:t>
        </m:r>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T</m:t>
            </m:r>
          </m:sub>
        </m:sSub>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T</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P</m:t>
            </m:r>
          </m:sub>
        </m:sSub>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P</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R</m:t>
            </m:r>
          </m:sub>
        </m:sSub>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R</m:t>
            </m:r>
          </m:sub>
        </m:sSub>
        <m:r>
          <w:rPr>
            <w:rFonts w:ascii="Cambria Math" w:eastAsia="Cambria Math" w:hAnsi="Cambria Math" w:cs="Cambria Math"/>
          </w:rPr>
          <m:t>+ε</m:t>
        </m:r>
      </m:oMath>
      <w:r>
        <w:rPr>
          <w:rFonts w:ascii="Cambria Math" w:eastAsia="Cambria Math" w:hAnsi="Cambria Math" w:cs="Cambria Math"/>
        </w:rPr>
        <w:t xml:space="preserve"> </w:t>
      </w:r>
      <w:r>
        <w:rPr>
          <w:rFonts w:ascii="Times New Roman" w:eastAsia="Times New Roman" w:hAnsi="Times New Roman" w:cs="Times New Roman"/>
          <w:color w:val="000000"/>
        </w:rPr>
        <w:t xml:space="preserve">                                 </w:t>
      </w:r>
      <w:r w:rsidRPr="00C30735">
        <w:rPr>
          <w:rFonts w:ascii="Times New Roman" w:eastAsia="Times New Roman" w:hAnsi="Times New Roman" w:cs="Times New Roman"/>
        </w:rPr>
        <w:t>(</w:t>
      </w:r>
      <w:r>
        <w:rPr>
          <w:rFonts w:ascii="Times New Roman" w:eastAsia="Times New Roman" w:hAnsi="Times New Roman" w:cs="Times New Roman"/>
        </w:rPr>
        <w:t>S4</w:t>
      </w:r>
      <w:r w:rsidRPr="00C30735">
        <w:rPr>
          <w:rFonts w:ascii="Times New Roman" w:eastAsia="Times New Roman" w:hAnsi="Times New Roman" w:cs="Times New Roman"/>
        </w:rPr>
        <w:t>)</w:t>
      </w:r>
    </w:p>
    <w:p w14:paraId="72DD95EA" w14:textId="3FAF78F3" w:rsidR="00552E35" w:rsidRDefault="004A1A52" w:rsidP="00260777">
      <w:pPr>
        <w:pStyle w:val="Heading3"/>
        <w:spacing w:before="120"/>
        <w:rPr>
          <w:rFonts w:ascii="Times New Roman" w:eastAsia="宋体" w:hAnsi="Times New Roman" w:cs="Times New Roman"/>
          <w:color w:val="000000" w:themeColor="text1"/>
        </w:rPr>
      </w:pPr>
      <w:r w:rsidRPr="00367A93">
        <w:rPr>
          <w:rFonts w:ascii="Times New Roman" w:eastAsia="宋体" w:hAnsi="Times New Roman" w:cs="Times New Roman"/>
          <w:color w:val="000000" w:themeColor="text1"/>
        </w:rPr>
        <w:t>where y is the de-trended anomaly of GPP, x</w:t>
      </w:r>
      <w:r w:rsidRPr="00367A93">
        <w:rPr>
          <w:rFonts w:ascii="Times New Roman" w:eastAsia="宋体" w:hAnsi="Times New Roman" w:cs="Times New Roman"/>
          <w:color w:val="000000" w:themeColor="text1"/>
          <w:vertAlign w:val="subscript"/>
        </w:rPr>
        <w:t>T</w:t>
      </w:r>
      <w:r w:rsidRPr="00367A93">
        <w:rPr>
          <w:rFonts w:ascii="Times New Roman" w:eastAsia="宋体" w:hAnsi="Times New Roman" w:cs="Times New Roman"/>
          <w:color w:val="000000" w:themeColor="text1"/>
        </w:rPr>
        <w:t xml:space="preserve"> is the detrended mean annual temperature anomaly, x</w:t>
      </w:r>
      <w:r w:rsidRPr="00367A93">
        <w:rPr>
          <w:rFonts w:ascii="Times New Roman" w:eastAsia="宋体" w:hAnsi="Times New Roman" w:cs="Times New Roman"/>
          <w:color w:val="000000" w:themeColor="text1"/>
          <w:vertAlign w:val="subscript"/>
        </w:rPr>
        <w:t>P</w:t>
      </w:r>
      <w:r w:rsidRPr="00367A93">
        <w:rPr>
          <w:rFonts w:ascii="Times New Roman" w:eastAsia="宋体" w:hAnsi="Times New Roman" w:cs="Times New Roman"/>
          <w:color w:val="000000" w:themeColor="text1"/>
        </w:rPr>
        <w:t xml:space="preserve"> is the de-trended annual precipitation anomaly, and x</w:t>
      </w:r>
      <w:r w:rsidRPr="00367A93">
        <w:rPr>
          <w:rFonts w:ascii="Times New Roman" w:eastAsia="宋体" w:hAnsi="Times New Roman" w:cs="Times New Roman"/>
          <w:color w:val="000000" w:themeColor="text1"/>
          <w:vertAlign w:val="subscript"/>
        </w:rPr>
        <w:t>R</w:t>
      </w:r>
      <w:r w:rsidRPr="00367A93">
        <w:rPr>
          <w:rFonts w:ascii="Times New Roman" w:eastAsia="宋体" w:hAnsi="Times New Roman" w:cs="Times New Roman"/>
          <w:color w:val="000000" w:themeColor="text1"/>
        </w:rPr>
        <w:t xml:space="preserve"> is the detrended mean annual radiation anomaly. The fitted regression coefficients S</w:t>
      </w:r>
      <w:r w:rsidRPr="00367A93">
        <w:rPr>
          <w:rFonts w:ascii="Times New Roman" w:eastAsia="宋体" w:hAnsi="Times New Roman" w:cs="Times New Roman"/>
          <w:color w:val="000000" w:themeColor="text1"/>
          <w:vertAlign w:val="subscript"/>
        </w:rPr>
        <w:t>T</w:t>
      </w:r>
      <w:r w:rsidRPr="00367A93">
        <w:rPr>
          <w:rFonts w:ascii="Times New Roman" w:eastAsia="宋体" w:hAnsi="Times New Roman" w:cs="Times New Roman"/>
          <w:color w:val="000000" w:themeColor="text1"/>
        </w:rPr>
        <w:t>, S</w:t>
      </w:r>
      <w:r w:rsidRPr="00367A93">
        <w:rPr>
          <w:rFonts w:ascii="Times New Roman" w:eastAsia="宋体" w:hAnsi="Times New Roman" w:cs="Times New Roman"/>
          <w:color w:val="000000" w:themeColor="text1"/>
          <w:vertAlign w:val="subscript"/>
        </w:rPr>
        <w:t>P</w:t>
      </w:r>
      <w:r w:rsidRPr="00367A93">
        <w:rPr>
          <w:rFonts w:ascii="Times New Roman" w:eastAsia="宋体" w:hAnsi="Times New Roman" w:cs="Times New Roman"/>
          <w:color w:val="000000" w:themeColor="text1"/>
        </w:rPr>
        <w:t>, S</w:t>
      </w:r>
      <w:r w:rsidRPr="00367A93">
        <w:rPr>
          <w:rFonts w:ascii="Times New Roman" w:eastAsia="宋体" w:hAnsi="Times New Roman" w:cs="Times New Roman"/>
          <w:color w:val="000000" w:themeColor="text1"/>
          <w:vertAlign w:val="subscript"/>
        </w:rPr>
        <w:t>R</w:t>
      </w:r>
      <w:r w:rsidRPr="00367A93">
        <w:rPr>
          <w:rFonts w:ascii="Times New Roman" w:eastAsia="宋体" w:hAnsi="Times New Roman" w:cs="Times New Roman"/>
          <w:color w:val="000000" w:themeColor="text1"/>
        </w:rPr>
        <w:t xml:space="preserve"> define the apparent GPP sensitivity to inter-annual variations in temperature, precipitation and radiation, respectively, and ɛ represents the residual error term.</w:t>
      </w:r>
      <w:r w:rsidR="001C434F">
        <w:rPr>
          <w:rFonts w:ascii="Times New Roman" w:eastAsia="宋体" w:hAnsi="Times New Roman" w:cs="Times New Roman"/>
          <w:color w:val="000000" w:themeColor="text1"/>
        </w:rPr>
        <w:t xml:space="preserve"> </w:t>
      </w:r>
      <w:r w:rsidR="001C434F">
        <w:rPr>
          <w:rFonts w:ascii="Times New Roman" w:eastAsia="Times New Roman" w:hAnsi="Times New Roman" w:cs="Times New Roman"/>
          <w:color w:val="000000"/>
          <w:sz w:val="22"/>
          <w:szCs w:val="22"/>
        </w:rPr>
        <w:t>ORCHIDEE-CNP and ORCHIDEE used the same forcing data of meteorology from CRU-JRA-55. But BESS and MTE used climate datasets from CRU-NCEP. For analyzing the sensitivity of GPP anomaly to climates, we used CRU-JRA-55 for ORCHIDEE-CNP and ORCHIDEE and CRU-NCEP for BESS and MTE.</w:t>
      </w:r>
    </w:p>
    <w:p w14:paraId="1E1743B1" w14:textId="77777777" w:rsidR="002E5B2D" w:rsidRPr="002E5B2D" w:rsidRDefault="002E5B2D" w:rsidP="002E5B2D"/>
    <w:p w14:paraId="5A9BACC0" w14:textId="093A5E6D" w:rsidR="003649C9" w:rsidRPr="009358F8" w:rsidRDefault="00933B3C" w:rsidP="00260777">
      <w:pPr>
        <w:pStyle w:val="Heading3"/>
        <w:spacing w:before="120"/>
        <w:rPr>
          <w:rFonts w:ascii="Times" w:eastAsia="Times" w:hAnsi="Times" w:cs="Times"/>
          <w:b/>
          <w:bCs/>
          <w:color w:val="FF0000"/>
          <w:sz w:val="20"/>
          <w:szCs w:val="26"/>
          <w:lang w:val="en-GB" w:eastAsia="de-DE"/>
        </w:rPr>
      </w:pPr>
      <w:r>
        <w:rPr>
          <w:rFonts w:ascii="Times New Roman" w:eastAsia="Times New Roman" w:hAnsi="Times New Roman" w:cs="Arial"/>
          <w:b/>
          <w:bCs/>
          <w:sz w:val="20"/>
          <w:szCs w:val="26"/>
          <w:lang w:val="en-GB" w:eastAsia="de-DE"/>
        </w:rPr>
        <w:t>S2</w:t>
      </w:r>
      <w:r w:rsidR="003649C9">
        <w:rPr>
          <w:rFonts w:ascii="Times New Roman" w:eastAsia="Times New Roman" w:hAnsi="Times New Roman" w:cs="Arial"/>
          <w:b/>
          <w:bCs/>
          <w:sz w:val="20"/>
          <w:szCs w:val="26"/>
          <w:lang w:val="en-GB" w:eastAsia="de-DE"/>
        </w:rPr>
        <w:t xml:space="preserve">. </w:t>
      </w:r>
      <w:r w:rsidR="003649C9" w:rsidRPr="009358F8">
        <w:rPr>
          <w:rFonts w:ascii="Times New Roman" w:eastAsia="Times New Roman" w:hAnsi="Times New Roman" w:cs="Arial"/>
          <w:b/>
          <w:bCs/>
          <w:color w:val="auto"/>
          <w:sz w:val="20"/>
          <w:szCs w:val="26"/>
          <w:lang w:val="en-GB" w:eastAsia="de-DE"/>
        </w:rPr>
        <w:t>Influences of agricultural activities on N and P fluxes</w:t>
      </w:r>
    </w:p>
    <w:p w14:paraId="213F17C5" w14:textId="1FBFFBFA" w:rsidR="003649C9" w:rsidRPr="009358F8" w:rsidRDefault="003649C9" w:rsidP="003649C9">
      <w:pPr>
        <w:spacing w:before="180"/>
        <w:jc w:val="both"/>
        <w:rPr>
          <w:rFonts w:ascii="Times New Roman" w:eastAsia="宋体" w:hAnsi="Times New Roman" w:cs="Times New Roman"/>
        </w:rPr>
      </w:pPr>
      <w:r w:rsidRPr="009358F8">
        <w:rPr>
          <w:rFonts w:ascii="Times New Roman" w:eastAsia="宋体" w:hAnsi="Times New Roman" w:cs="Times New Roman"/>
        </w:rPr>
        <w:t>The residence time of N and P in fertilized agricultural ecosystems is completely overridden by human input, so that model biases for those ecosystems should be related to how added nutrients are partitioned between their incorporation in biomass and losses, and soil P accumulation for P through sorption. Total N fertilizer input and harvest N for cropland by ORCHIDEE-CNP are 125 Tg N yr</w:t>
      </w:r>
      <w:r w:rsidRPr="009358F8">
        <w:rPr>
          <w:rFonts w:ascii="Times New Roman" w:eastAsia="宋体" w:hAnsi="Times New Roman" w:cs="Times New Roman"/>
          <w:vertAlign w:val="superscript"/>
        </w:rPr>
        <w:t>-1</w:t>
      </w:r>
      <w:r w:rsidRPr="009358F8">
        <w:rPr>
          <w:rFonts w:ascii="Times New Roman" w:eastAsia="宋体" w:hAnsi="Times New Roman" w:cs="Times New Roman"/>
        </w:rPr>
        <w:t xml:space="preserve"> and 75 Tg N yr</w:t>
      </w:r>
      <w:r w:rsidRPr="009358F8">
        <w:rPr>
          <w:rFonts w:ascii="Times New Roman" w:eastAsia="宋体" w:hAnsi="Times New Roman" w:cs="Times New Roman"/>
          <w:vertAlign w:val="superscript"/>
        </w:rPr>
        <w:t>-1</w:t>
      </w:r>
      <w:r w:rsidRPr="009358F8">
        <w:rPr>
          <w:rFonts w:ascii="Times New Roman" w:eastAsia="宋体" w:hAnsi="Times New Roman" w:cs="Times New Roman"/>
        </w:rPr>
        <w:t xml:space="preserve"> in 2010, which gives a high N use efficiency for crop biomass production equal to 0.6 (NUE; defined as the ratio of harvest N yield to total N inputs). Modelled N harvest by ORCHIDEE-CNP is very close with the FAOSTAT-based estimates of 74 Tg N yr</w:t>
      </w:r>
      <w:r w:rsidRPr="009358F8">
        <w:rPr>
          <w:rFonts w:ascii="Times New Roman" w:eastAsia="宋体" w:hAnsi="Times New Roman" w:cs="Times New Roman"/>
          <w:vertAlign w:val="superscript"/>
        </w:rPr>
        <w:t xml:space="preserve">-1 </w:t>
      </w:r>
      <w:r w:rsidRPr="009358F8">
        <w:rPr>
          <w:rFonts w:ascii="Times New Roman" w:eastAsia="宋体" w:hAnsi="Times New Roman" w:cs="Times New Roman"/>
        </w:rPr>
        <w:t>(Zhang et al., 2015), but our total N input prescribed from Zhang et al. (2015) is lower than FAOSTAT-based estimate of 174 Tg N yr</w:t>
      </w:r>
      <w:r w:rsidRPr="009358F8">
        <w:rPr>
          <w:rFonts w:ascii="Times New Roman" w:eastAsia="宋体" w:hAnsi="Times New Roman" w:cs="Times New Roman"/>
          <w:vertAlign w:val="superscript"/>
        </w:rPr>
        <w:t>-1</w:t>
      </w:r>
      <w:r w:rsidRPr="009358F8">
        <w:rPr>
          <w:rFonts w:ascii="Times New Roman" w:eastAsia="宋体" w:hAnsi="Times New Roman" w:cs="Times New Roman"/>
        </w:rPr>
        <w:t xml:space="preserve">. This </w:t>
      </w:r>
      <w:r w:rsidRPr="009358F8">
        <w:rPr>
          <w:rFonts w:ascii="Times New Roman" w:eastAsia="宋体" w:hAnsi="Times New Roman" w:cs="Times New Roman"/>
        </w:rPr>
        <w:lastRenderedPageBreak/>
        <w:t xml:space="preserve">difference is partly due to the different method to allocate fertilizer to crop and pasture areas by Zhang et al. (2015) (Conant et al., 2013; Lassaletta et al., 2014) and Lu and Tian (2017) (Monfreda et al., 2008). Further, </w:t>
      </w:r>
      <w:r w:rsidR="00202D76">
        <w:rPr>
          <w:rFonts w:ascii="Times New Roman" w:eastAsia="宋体" w:hAnsi="Times New Roman" w:cs="Times New Roman"/>
        </w:rPr>
        <w:t>b</w:t>
      </w:r>
      <w:r w:rsidR="00202D76" w:rsidRPr="00C60E08">
        <w:rPr>
          <w:rFonts w:ascii="Times New Roman" w:eastAsia="宋体" w:hAnsi="Times New Roman" w:cs="Times New Roman"/>
        </w:rPr>
        <w:t>iological nitrogen fixation</w:t>
      </w:r>
      <w:r w:rsidR="00202D76" w:rsidRPr="009358F8">
        <w:rPr>
          <w:rFonts w:ascii="Times New Roman" w:eastAsia="宋体" w:hAnsi="Times New Roman" w:cs="Times New Roman"/>
        </w:rPr>
        <w:t xml:space="preserve"> </w:t>
      </w:r>
      <w:r w:rsidR="00202D76">
        <w:rPr>
          <w:rFonts w:ascii="Times New Roman" w:eastAsia="宋体" w:hAnsi="Times New Roman" w:cs="Times New Roman"/>
        </w:rPr>
        <w:t>(</w:t>
      </w:r>
      <w:r w:rsidRPr="009358F8">
        <w:rPr>
          <w:rFonts w:ascii="Times New Roman" w:eastAsia="宋体" w:hAnsi="Times New Roman" w:cs="Times New Roman"/>
        </w:rPr>
        <w:t>BNF</w:t>
      </w:r>
      <w:r w:rsidR="00202D76">
        <w:rPr>
          <w:rFonts w:ascii="Times New Roman" w:eastAsia="宋体" w:hAnsi="Times New Roman" w:cs="Times New Roman"/>
        </w:rPr>
        <w:t>)</w:t>
      </w:r>
      <w:r w:rsidR="00763644">
        <w:rPr>
          <w:rFonts w:ascii="Times New Roman" w:eastAsia="宋体" w:hAnsi="Times New Roman" w:cs="Times New Roman"/>
        </w:rPr>
        <w:t xml:space="preserve"> in croplands is</w:t>
      </w:r>
      <w:r w:rsidRPr="009358F8">
        <w:rPr>
          <w:rFonts w:ascii="Times New Roman" w:eastAsia="宋体" w:hAnsi="Times New Roman" w:cs="Times New Roman"/>
        </w:rPr>
        <w:t xml:space="preserve"> about ~30 Tg N yr</w:t>
      </w:r>
      <w:r w:rsidRPr="009358F8">
        <w:rPr>
          <w:rFonts w:ascii="Times New Roman" w:eastAsia="宋体" w:hAnsi="Times New Roman" w:cs="Times New Roman"/>
          <w:vertAlign w:val="superscript"/>
        </w:rPr>
        <w:t>-1</w:t>
      </w:r>
      <w:r w:rsidRPr="009358F8">
        <w:rPr>
          <w:rFonts w:ascii="Times New Roman" w:eastAsia="宋体" w:hAnsi="Times New Roman" w:cs="Times New Roman"/>
        </w:rPr>
        <w:t xml:space="preserve"> according to Bodirsky et al., (2012) and 39 Tg N yr</w:t>
      </w:r>
      <w:r w:rsidRPr="009358F8">
        <w:rPr>
          <w:rFonts w:ascii="Times New Roman" w:eastAsia="宋体" w:hAnsi="Times New Roman" w:cs="Times New Roman"/>
          <w:vertAlign w:val="superscript"/>
        </w:rPr>
        <w:t>-1</w:t>
      </w:r>
      <w:r w:rsidRPr="009358F8">
        <w:rPr>
          <w:rFonts w:ascii="Times New Roman" w:eastAsia="宋体" w:hAnsi="Times New Roman" w:cs="Times New Roman"/>
        </w:rPr>
        <w:t xml:space="preserve"> fo</w:t>
      </w:r>
      <w:r w:rsidR="00F856FF">
        <w:rPr>
          <w:rFonts w:ascii="Times New Roman" w:eastAsia="宋体" w:hAnsi="Times New Roman" w:cs="Times New Roman"/>
        </w:rPr>
        <w:t>r both cropland and pasture in Bouwman et al. (</w:t>
      </w:r>
      <w:r w:rsidRPr="009358F8">
        <w:rPr>
          <w:rFonts w:ascii="Times New Roman" w:eastAsia="宋体" w:hAnsi="Times New Roman" w:cs="Times New Roman"/>
        </w:rPr>
        <w:t>2013b)</w:t>
      </w:r>
      <w:r w:rsidR="008B6172">
        <w:rPr>
          <w:rFonts w:ascii="Times New Roman" w:eastAsia="宋体" w:hAnsi="Times New Roman" w:cs="Times New Roman"/>
        </w:rPr>
        <w:t>,</w:t>
      </w:r>
      <w:r w:rsidRPr="009358F8">
        <w:rPr>
          <w:rFonts w:ascii="Times New Roman" w:eastAsia="宋体" w:hAnsi="Times New Roman" w:cs="Times New Roman"/>
        </w:rPr>
        <w:t xml:space="preserve"> </w:t>
      </w:r>
      <w:r w:rsidR="008B6172">
        <w:rPr>
          <w:rFonts w:ascii="Times New Roman" w:eastAsia="宋体" w:hAnsi="Times New Roman" w:cs="Times New Roman"/>
        </w:rPr>
        <w:t xml:space="preserve">which </w:t>
      </w:r>
      <w:r w:rsidRPr="009358F8">
        <w:rPr>
          <w:rFonts w:ascii="Times New Roman" w:eastAsia="宋体" w:hAnsi="Times New Roman" w:cs="Times New Roman"/>
        </w:rPr>
        <w:t>was not accounted for in ORCHIDEE-CNP but was accounted in Zhang et al. (2015). A lower estimation in total N input by ORCHIDEE-CNP leads to a higher NUE compared to Zhang et al. (2015) (0.42).</w:t>
      </w:r>
    </w:p>
    <w:p w14:paraId="0C7FB397" w14:textId="6F940236" w:rsidR="003649C9" w:rsidRPr="009358F8" w:rsidRDefault="003649C9" w:rsidP="003649C9">
      <w:pPr>
        <w:spacing w:before="180"/>
        <w:jc w:val="both"/>
        <w:rPr>
          <w:rFonts w:ascii="Times New Roman" w:eastAsia="宋体" w:hAnsi="Times New Roman" w:cs="Times New Roman"/>
          <w:shd w:val="clear" w:color="auto" w:fill="D9D9D9"/>
        </w:rPr>
      </w:pPr>
      <w:r w:rsidRPr="009358F8">
        <w:rPr>
          <w:rFonts w:ascii="Times New Roman" w:eastAsia="宋体" w:hAnsi="Times New Roman" w:cs="Times New Roman"/>
        </w:rPr>
        <w:t>Averaged total P input for cropland over 2002-2010 is estimated to be 20.4 Tg P yr</w:t>
      </w:r>
      <w:r w:rsidRPr="009358F8">
        <w:rPr>
          <w:rFonts w:ascii="Times New Roman" w:eastAsia="宋体" w:hAnsi="Times New Roman" w:cs="Times New Roman"/>
          <w:vertAlign w:val="superscript"/>
        </w:rPr>
        <w:t>-1</w:t>
      </w:r>
      <w:r w:rsidRPr="009358F8">
        <w:rPr>
          <w:rFonts w:ascii="Times New Roman" w:eastAsia="宋体" w:hAnsi="Times New Roman" w:cs="Times New Roman"/>
        </w:rPr>
        <w:t>, which is lower than the estimate</w:t>
      </w:r>
      <w:r w:rsidR="00833BD6">
        <w:rPr>
          <w:rFonts w:ascii="Times New Roman" w:eastAsia="宋体" w:hAnsi="Times New Roman" w:cs="Times New Roman"/>
        </w:rPr>
        <w:t xml:space="preserve"> by Lun et al. </w:t>
      </w:r>
      <w:r w:rsidRPr="009358F8">
        <w:rPr>
          <w:rFonts w:ascii="Times New Roman" w:eastAsia="宋体" w:hAnsi="Times New Roman" w:cs="Times New Roman"/>
        </w:rPr>
        <w:t>(2018) (25.5 Tg P yr</w:t>
      </w:r>
      <w:r w:rsidRPr="009358F8">
        <w:rPr>
          <w:rFonts w:ascii="Times New Roman" w:eastAsia="宋体" w:hAnsi="Times New Roman" w:cs="Times New Roman"/>
          <w:vertAlign w:val="superscript"/>
        </w:rPr>
        <w:t>-1</w:t>
      </w:r>
      <w:r w:rsidRPr="009358F8">
        <w:rPr>
          <w:rFonts w:ascii="Times New Roman" w:eastAsia="宋体" w:hAnsi="Times New Roman" w:cs="Times New Roman"/>
        </w:rPr>
        <w:t>). This is because we used a lower manure P input (4.2 Tg P yr</w:t>
      </w:r>
      <w:r w:rsidRPr="009358F8">
        <w:rPr>
          <w:rFonts w:ascii="Times New Roman" w:eastAsia="宋体" w:hAnsi="Times New Roman" w:cs="Times New Roman"/>
          <w:vertAlign w:val="superscript"/>
        </w:rPr>
        <w:t>-1</w:t>
      </w:r>
      <w:r w:rsidR="0021352B">
        <w:rPr>
          <w:rFonts w:ascii="Times New Roman" w:eastAsia="宋体" w:hAnsi="Times New Roman" w:cs="Times New Roman"/>
        </w:rPr>
        <w:t>) than Lun et al.</w:t>
      </w:r>
      <w:r w:rsidRPr="009358F8">
        <w:rPr>
          <w:rFonts w:ascii="Times New Roman" w:eastAsia="宋体" w:hAnsi="Times New Roman" w:cs="Times New Roman"/>
        </w:rPr>
        <w:t xml:space="preserve"> (2018) (7.1 Tg P yr</w:t>
      </w:r>
      <w:r w:rsidRPr="009358F8">
        <w:rPr>
          <w:rFonts w:ascii="Times New Roman" w:eastAsia="宋体" w:hAnsi="Times New Roman" w:cs="Times New Roman"/>
          <w:vertAlign w:val="superscript"/>
        </w:rPr>
        <w:t>-1</w:t>
      </w:r>
      <w:r w:rsidRPr="009358F8">
        <w:rPr>
          <w:rFonts w:ascii="Times New Roman" w:eastAsia="宋体" w:hAnsi="Times New Roman" w:cs="Times New Roman"/>
        </w:rPr>
        <w:t>) and omitted sludge P input (1.4 Tg P yr</w:t>
      </w:r>
      <w:r w:rsidRPr="009358F8">
        <w:rPr>
          <w:rFonts w:ascii="Times New Roman" w:eastAsia="宋体" w:hAnsi="Times New Roman" w:cs="Times New Roman"/>
          <w:vertAlign w:val="superscript"/>
        </w:rPr>
        <w:t>-1</w:t>
      </w:r>
      <w:r w:rsidRPr="009358F8">
        <w:rPr>
          <w:rFonts w:ascii="Times New Roman" w:eastAsia="宋体" w:hAnsi="Times New Roman" w:cs="Times New Roman"/>
        </w:rPr>
        <w:t xml:space="preserve"> by Lun et al., 2018). Averaged modelled P harvest over 2002-2010 is 5.8 Tg P yr</w:t>
      </w:r>
      <w:r w:rsidRPr="009358F8">
        <w:rPr>
          <w:rFonts w:ascii="Times New Roman" w:eastAsia="宋体" w:hAnsi="Times New Roman" w:cs="Times New Roman"/>
          <w:vertAlign w:val="superscript"/>
        </w:rPr>
        <w:t>-1</w:t>
      </w:r>
      <w:r w:rsidRPr="009358F8">
        <w:rPr>
          <w:rFonts w:ascii="Times New Roman" w:eastAsia="宋体" w:hAnsi="Times New Roman" w:cs="Times New Roman"/>
        </w:rPr>
        <w:t xml:space="preserve">, which is also lower </w:t>
      </w:r>
      <w:r w:rsidR="00500310">
        <w:rPr>
          <w:rFonts w:ascii="Times New Roman" w:eastAsia="宋体" w:hAnsi="Times New Roman" w:cs="Times New Roman"/>
        </w:rPr>
        <w:t>than that of Lun et al. (2018) (</w:t>
      </w:r>
      <w:r w:rsidRPr="009358F8">
        <w:rPr>
          <w:rFonts w:ascii="Times New Roman" w:eastAsia="宋体" w:hAnsi="Times New Roman" w:cs="Times New Roman"/>
        </w:rPr>
        <w:t>11.7 Tg P yr</w:t>
      </w:r>
      <w:r w:rsidRPr="009358F8">
        <w:rPr>
          <w:rFonts w:ascii="Times New Roman" w:eastAsia="宋体" w:hAnsi="Times New Roman" w:cs="Times New Roman"/>
          <w:vertAlign w:val="superscript"/>
        </w:rPr>
        <w:t>-1</w:t>
      </w:r>
      <w:r w:rsidRPr="009358F8">
        <w:rPr>
          <w:rFonts w:ascii="Times New Roman" w:eastAsia="宋体" w:hAnsi="Times New Roman" w:cs="Times New Roman"/>
        </w:rPr>
        <w:t xml:space="preserve">). The stoichiometry of crop harvest differs among crop types, while ORCHIDEE-CNP currently only distinguishes between three major crop types (maize, rice and wheat), which may explain the bias of P harvest whereas N harvest rates are in good agreement with independent estimates. </w:t>
      </w:r>
    </w:p>
    <w:p w14:paraId="45EEFB4C" w14:textId="1D7F8C2C" w:rsidR="00155E2E" w:rsidRPr="006C079F" w:rsidRDefault="003649C9" w:rsidP="00155E2E">
      <w:pPr>
        <w:spacing w:before="120"/>
        <w:jc w:val="both"/>
        <w:rPr>
          <w:rFonts w:ascii="Times New Roman" w:eastAsia="宋体" w:hAnsi="Times New Roman" w:cs="Times New Roman"/>
        </w:rPr>
      </w:pPr>
      <w:r w:rsidRPr="009358F8">
        <w:rPr>
          <w:rFonts w:ascii="Times New Roman" w:eastAsia="宋体" w:hAnsi="Times New Roman" w:cs="Times New Roman"/>
        </w:rPr>
        <w:t>Modelled N and P leaching from croplands and pasture contributes 39% and 88% of global total N and P leaching in ORCHIDEE-CNP, respectively. The simulated global P leaching from managed land (3.3 Tg P yr</w:t>
      </w:r>
      <w:r w:rsidRPr="009358F8">
        <w:rPr>
          <w:rFonts w:ascii="Times New Roman" w:eastAsia="宋体" w:hAnsi="Times New Roman" w:cs="Times New Roman"/>
          <w:vertAlign w:val="superscript"/>
        </w:rPr>
        <w:t>-1</w:t>
      </w:r>
      <w:r w:rsidRPr="009358F8">
        <w:rPr>
          <w:rFonts w:ascii="Times New Roman" w:eastAsia="宋体" w:hAnsi="Times New Roman" w:cs="Times New Roman"/>
        </w:rPr>
        <w:t>) is lower than the estimation by Lun et al. (2018) of 5.4 Tg P yr</w:t>
      </w:r>
      <w:r w:rsidRPr="009358F8">
        <w:rPr>
          <w:rFonts w:ascii="Times New Roman" w:eastAsia="宋体" w:hAnsi="Times New Roman" w:cs="Times New Roman"/>
          <w:vertAlign w:val="superscript"/>
        </w:rPr>
        <w:t>-1</w:t>
      </w:r>
      <w:r w:rsidRPr="009358F8">
        <w:rPr>
          <w:rFonts w:ascii="Times New Roman" w:eastAsia="宋体" w:hAnsi="Times New Roman" w:cs="Times New Roman"/>
        </w:rPr>
        <w:t xml:space="preserve">) but higher than in Mekonnen and </w:t>
      </w:r>
      <w:r w:rsidRPr="009358F8">
        <w:rPr>
          <w:rFonts w:ascii="Times New Roman" w:eastAsia="宋体" w:hAnsi="Times New Roman" w:cs="Times New Roman" w:hint="eastAsia"/>
        </w:rPr>
        <w:t>Hoekstra</w:t>
      </w:r>
      <w:r w:rsidRPr="009358F8">
        <w:rPr>
          <w:rFonts w:ascii="Times New Roman" w:eastAsia="宋体" w:hAnsi="Times New Roman" w:cs="Times New Roman"/>
        </w:rPr>
        <w:t xml:space="preserve"> (2018) (0.6 Tg P yr</w:t>
      </w:r>
      <w:r w:rsidRPr="009358F8">
        <w:rPr>
          <w:rFonts w:ascii="Times New Roman" w:eastAsia="宋体" w:hAnsi="Times New Roman" w:cs="Times New Roman"/>
          <w:vertAlign w:val="superscript"/>
        </w:rPr>
        <w:t>-1</w:t>
      </w:r>
      <w:r w:rsidRPr="009358F8">
        <w:rPr>
          <w:rFonts w:ascii="Times New Roman" w:eastAsia="宋体" w:hAnsi="Times New Roman" w:cs="Times New Roman"/>
        </w:rPr>
        <w:t xml:space="preserve">). This large range of published estimates is due to the different methodologies and the assumptions of the ratio of P loss to P input (Liu et al., 2018). For example, Lun et al. (2018) assumed that a constant 12.5% of total P input was leached, while Mekonnen </w:t>
      </w:r>
      <w:r w:rsidRPr="009358F8">
        <w:rPr>
          <w:rFonts w:ascii="Times New Roman" w:eastAsia="宋体" w:hAnsi="Times New Roman" w:cs="Times New Roman" w:hint="eastAsia"/>
        </w:rPr>
        <w:t>and Hoekstra</w:t>
      </w:r>
      <w:r w:rsidRPr="009358F8">
        <w:rPr>
          <w:rFonts w:ascii="Times New Roman" w:eastAsia="宋体" w:hAnsi="Times New Roman" w:cs="Times New Roman"/>
        </w:rPr>
        <w:t xml:space="preserve"> (2018) estimated gridded P load to freshwater based on a much smaller erosion-runoff-leaching fraction (2.8% of total P inpu</w:t>
      </w:r>
      <w:r w:rsidR="0091779E">
        <w:rPr>
          <w:rFonts w:ascii="Times New Roman" w:eastAsia="宋体" w:hAnsi="Times New Roman" w:cs="Times New Roman"/>
        </w:rPr>
        <w:t>t) for diffuse sources (Table S3</w:t>
      </w:r>
      <w:r w:rsidRPr="009358F8">
        <w:rPr>
          <w:rFonts w:ascii="Times New Roman" w:eastAsia="宋体" w:hAnsi="Times New Roman" w:cs="Times New Roman"/>
        </w:rPr>
        <w:t>).</w:t>
      </w:r>
    </w:p>
    <w:p w14:paraId="35E49D2E" w14:textId="60170E11" w:rsidR="003649C9" w:rsidRPr="00E729F9" w:rsidRDefault="00EE724E" w:rsidP="00155E2E">
      <w:pPr>
        <w:pStyle w:val="Heading3"/>
        <w:spacing w:before="120"/>
        <w:rPr>
          <w:rFonts w:ascii="Times New Roman" w:eastAsia="Times New Roman" w:hAnsi="Times New Roman" w:cs="Arial"/>
          <w:b/>
          <w:bCs/>
          <w:color w:val="auto"/>
          <w:sz w:val="20"/>
          <w:szCs w:val="26"/>
        </w:rPr>
      </w:pPr>
      <w:r>
        <w:rPr>
          <w:rFonts w:ascii="Times New Roman" w:eastAsia="Times New Roman" w:hAnsi="Times New Roman" w:cs="Arial"/>
          <w:b/>
          <w:bCs/>
          <w:sz w:val="20"/>
          <w:szCs w:val="26"/>
          <w:lang w:val="en-GB" w:eastAsia="de-DE"/>
        </w:rPr>
        <w:t>S3</w:t>
      </w:r>
      <w:r w:rsidR="003649C9">
        <w:rPr>
          <w:rFonts w:ascii="Times New Roman" w:eastAsia="Times New Roman" w:hAnsi="Times New Roman" w:cs="Arial"/>
          <w:b/>
          <w:bCs/>
          <w:sz w:val="20"/>
          <w:szCs w:val="26"/>
          <w:lang w:val="en-GB" w:eastAsia="de-DE"/>
        </w:rPr>
        <w:t xml:space="preserve">. </w:t>
      </w:r>
      <w:r w:rsidR="003649C9" w:rsidRPr="00603CE6">
        <w:rPr>
          <w:rFonts w:ascii="Times New Roman" w:eastAsia="Times New Roman" w:hAnsi="Times New Roman" w:cs="Arial"/>
          <w:b/>
          <w:bCs/>
          <w:color w:val="auto"/>
          <w:sz w:val="20"/>
          <w:szCs w:val="26"/>
          <w:lang w:val="en-GB" w:eastAsia="de-DE"/>
        </w:rPr>
        <w:t>Biome-scale nutrient budgets</w:t>
      </w:r>
    </w:p>
    <w:p w14:paraId="1E6EC707" w14:textId="6C71A480" w:rsidR="003649C9" w:rsidRPr="00603CE6" w:rsidRDefault="003649C9" w:rsidP="003649C9">
      <w:pPr>
        <w:spacing w:before="180"/>
        <w:jc w:val="both"/>
        <w:rPr>
          <w:rFonts w:ascii="Times New Roman" w:eastAsia="宋体" w:hAnsi="Times New Roman" w:cs="Times New Roman"/>
        </w:rPr>
      </w:pPr>
      <w:r w:rsidRPr="00603CE6">
        <w:rPr>
          <w:rFonts w:ascii="Times New Roman" w:eastAsia="宋体" w:hAnsi="Times New Roman" w:cs="Times New Roman"/>
        </w:rPr>
        <w:t>In a model resolving nutrients like ORCHIDEE-CNP, as changes in climate and CO</w:t>
      </w:r>
      <w:r w:rsidRPr="00603CE6">
        <w:rPr>
          <w:rFonts w:ascii="Times New Roman" w:eastAsia="宋体" w:hAnsi="Times New Roman" w:cs="Times New Roman"/>
          <w:vertAlign w:val="subscript"/>
        </w:rPr>
        <w:t>2</w:t>
      </w:r>
      <w:r w:rsidRPr="00603CE6">
        <w:rPr>
          <w:rFonts w:ascii="Times New Roman" w:eastAsia="宋体" w:hAnsi="Times New Roman" w:cs="Times New Roman"/>
        </w:rPr>
        <w:t xml:space="preserve"> drive an increased land carbon storage, N and P tend to accumulate over time in biomass and soil carbon pools. We analyzed the modelled N and P storage changes for 4 managed and 10 natural biomes for the period of the 2000s from the ORCHIDEE-CNP output. </w:t>
      </w:r>
      <w:r w:rsidRPr="00A61406">
        <w:rPr>
          <w:rFonts w:ascii="Times New Roman" w:eastAsia="宋体" w:hAnsi="Times New Roman" w:cs="Times New Roman"/>
        </w:rPr>
        <w:t xml:space="preserve">We found a net N accumulation in natural biomes mainly fueled by BNF (Fig. </w:t>
      </w:r>
      <w:r w:rsidR="0091779E" w:rsidRPr="00A61406">
        <w:rPr>
          <w:rFonts w:ascii="Times New Roman" w:eastAsia="宋体" w:hAnsi="Times New Roman" w:cs="Times New Roman"/>
        </w:rPr>
        <w:t>S</w:t>
      </w:r>
      <w:r w:rsidR="002619EC" w:rsidRPr="00A61406">
        <w:rPr>
          <w:rFonts w:ascii="Times New Roman" w:eastAsia="宋体" w:hAnsi="Times New Roman" w:cs="Times New Roman"/>
        </w:rPr>
        <w:t>15</w:t>
      </w:r>
      <w:r w:rsidRPr="00A61406">
        <w:rPr>
          <w:rFonts w:ascii="Times New Roman" w:eastAsia="宋体" w:hAnsi="Times New Roman" w:cs="Times New Roman"/>
        </w:rPr>
        <w:t>a), except for boreal forests and natural grasslands where the contribution of N deposition is the dominant source of new N inputs.</w:t>
      </w:r>
      <w:r w:rsidRPr="00603CE6">
        <w:rPr>
          <w:rFonts w:ascii="Times New Roman" w:eastAsia="宋体" w:hAnsi="Times New Roman" w:cs="Times New Roman"/>
        </w:rPr>
        <w:t xml:space="preserve"> A net N accumulation of 14.4 Tg N yr</w:t>
      </w:r>
      <w:r w:rsidRPr="00603CE6">
        <w:rPr>
          <w:rFonts w:ascii="Times New Roman" w:eastAsia="宋体" w:hAnsi="Times New Roman" w:cs="Times New Roman"/>
          <w:vertAlign w:val="superscript"/>
        </w:rPr>
        <w:t>-1</w:t>
      </w:r>
      <w:r w:rsidRPr="00603CE6">
        <w:rPr>
          <w:rFonts w:ascii="Times New Roman" w:eastAsia="宋体" w:hAnsi="Times New Roman" w:cs="Times New Roman"/>
        </w:rPr>
        <w:t xml:space="preserve"> is found in pastures, whereas a net N loss of 6.5 Tg N yr</w:t>
      </w:r>
      <w:r w:rsidRPr="00603CE6">
        <w:rPr>
          <w:rFonts w:ascii="Times New Roman" w:eastAsia="宋体" w:hAnsi="Times New Roman" w:cs="Times New Roman"/>
          <w:vertAlign w:val="superscript"/>
        </w:rPr>
        <w:t>-1</w:t>
      </w:r>
      <w:r w:rsidR="0055706B">
        <w:rPr>
          <w:rFonts w:ascii="Times New Roman" w:eastAsia="宋体" w:hAnsi="Times New Roman" w:cs="Times New Roman"/>
        </w:rPr>
        <w:t xml:space="preserve"> is found in croplands (Fig. S</w:t>
      </w:r>
      <w:r w:rsidR="002619EC">
        <w:rPr>
          <w:rFonts w:ascii="Times New Roman" w:eastAsia="宋体" w:hAnsi="Times New Roman" w:cs="Times New Roman"/>
        </w:rPr>
        <w:t>15</w:t>
      </w:r>
      <w:r w:rsidRPr="00603CE6">
        <w:rPr>
          <w:rFonts w:ascii="Times New Roman" w:eastAsia="宋体" w:hAnsi="Times New Roman" w:cs="Times New Roman"/>
        </w:rPr>
        <w:t>a). N fertilizers application accounts for 20~33% of the total pasture N input, and dominates N inputs in cropland (80~95%, 149 Tg N yr</w:t>
      </w:r>
      <w:r w:rsidRPr="00603CE6">
        <w:rPr>
          <w:rFonts w:ascii="Times New Roman" w:eastAsia="宋体" w:hAnsi="Times New Roman" w:cs="Times New Roman"/>
          <w:vertAlign w:val="superscript"/>
        </w:rPr>
        <w:t>-1</w:t>
      </w:r>
      <w:r w:rsidRPr="00603CE6">
        <w:rPr>
          <w:rFonts w:ascii="Times New Roman" w:eastAsia="宋体" w:hAnsi="Times New Roman" w:cs="Times New Roman"/>
        </w:rPr>
        <w:t xml:space="preserve"> in total). Only 55~60% of N input from fertilizers application is harvested in crop biomass. The rest of these inputs being lost in gaseous form (45.7 Tg N yr</w:t>
      </w:r>
      <w:r w:rsidRPr="00603CE6">
        <w:rPr>
          <w:rFonts w:ascii="Times New Roman" w:eastAsia="宋体" w:hAnsi="Times New Roman" w:cs="Times New Roman"/>
          <w:vertAlign w:val="superscript"/>
        </w:rPr>
        <w:t>-1</w:t>
      </w:r>
      <w:r w:rsidRPr="00603CE6">
        <w:rPr>
          <w:rFonts w:ascii="Times New Roman" w:eastAsia="宋体" w:hAnsi="Times New Roman" w:cs="Times New Roman"/>
        </w:rPr>
        <w:t>) and from drainage and surface runoff leaching (20.7 Tg N yr</w:t>
      </w:r>
      <w:r w:rsidRPr="00603CE6">
        <w:rPr>
          <w:rFonts w:ascii="Times New Roman" w:eastAsia="宋体" w:hAnsi="Times New Roman" w:cs="Times New Roman"/>
          <w:vertAlign w:val="superscript"/>
        </w:rPr>
        <w:t>-1</w:t>
      </w:r>
      <w:r w:rsidRPr="00603CE6">
        <w:rPr>
          <w:rFonts w:ascii="Times New Roman" w:eastAsia="宋体" w:hAnsi="Times New Roman" w:cs="Times New Roman"/>
        </w:rPr>
        <w:t xml:space="preserve">). </w:t>
      </w:r>
    </w:p>
    <w:p w14:paraId="1AD61ECD" w14:textId="418E2E3A" w:rsidR="003649C9" w:rsidRPr="00603CE6" w:rsidRDefault="003649C9" w:rsidP="003649C9">
      <w:pPr>
        <w:spacing w:before="180"/>
        <w:jc w:val="both"/>
        <w:rPr>
          <w:rFonts w:ascii="Times New Roman" w:eastAsia="宋体" w:hAnsi="Times New Roman" w:cs="Times New Roman"/>
          <w:color w:val="FF0000"/>
        </w:rPr>
      </w:pPr>
      <w:r w:rsidRPr="00603CE6">
        <w:rPr>
          <w:rFonts w:ascii="Times New Roman" w:eastAsia="宋体" w:hAnsi="Times New Roman" w:cs="Times New Roman"/>
        </w:rPr>
        <w:t>We found a net P accumulation of 0.8 Tg P yr</w:t>
      </w:r>
      <w:r w:rsidRPr="00603CE6">
        <w:rPr>
          <w:rFonts w:ascii="Times New Roman" w:eastAsia="宋体" w:hAnsi="Times New Roman" w:cs="Times New Roman"/>
          <w:vertAlign w:val="superscript"/>
        </w:rPr>
        <w:t>-1</w:t>
      </w:r>
      <w:r w:rsidRPr="00603CE6">
        <w:rPr>
          <w:rFonts w:ascii="Times New Roman" w:eastAsia="宋体" w:hAnsi="Times New Roman" w:cs="Times New Roman"/>
        </w:rPr>
        <w:t xml:space="preserve"> in tropical and temperate forests, </w:t>
      </w:r>
      <w:r w:rsidRPr="00603CE6">
        <w:rPr>
          <w:rFonts w:ascii="Times New Roman" w:eastAsia="宋体" w:hAnsi="Times New Roman" w:cs="Times New Roman"/>
          <w:color w:val="000000"/>
        </w:rPr>
        <w:t>but a net P loss of -0.16 Tg P yr</w:t>
      </w:r>
      <w:r w:rsidRPr="00603CE6">
        <w:rPr>
          <w:rFonts w:ascii="Times New Roman" w:eastAsia="宋体" w:hAnsi="Times New Roman" w:cs="Times New Roman"/>
          <w:color w:val="000000"/>
          <w:vertAlign w:val="superscript"/>
        </w:rPr>
        <w:t>-1</w:t>
      </w:r>
      <w:r w:rsidRPr="00603CE6">
        <w:rPr>
          <w:rFonts w:ascii="Times New Roman" w:eastAsia="宋体" w:hAnsi="Times New Roman" w:cs="Times New Roman"/>
          <w:color w:val="000000"/>
        </w:rPr>
        <w:t xml:space="preserve"> in natural grasslands</w:t>
      </w:r>
      <w:r w:rsidRPr="00603CE6">
        <w:rPr>
          <w:rFonts w:ascii="Times New Roman" w:eastAsia="宋体" w:hAnsi="Times New Roman" w:cs="Times New Roman" w:hint="eastAsia"/>
          <w:color w:val="000000"/>
        </w:rPr>
        <w:t xml:space="preserve"> </w:t>
      </w:r>
      <w:r w:rsidRPr="00603CE6">
        <w:rPr>
          <w:rFonts w:ascii="Times New Roman" w:eastAsia="宋体" w:hAnsi="Times New Roman" w:cs="Times New Roman"/>
          <w:color w:val="000000"/>
        </w:rPr>
        <w:t>due to increased soil P fixation exceeding P deposition and weathering inputs.</w:t>
      </w:r>
      <w:r w:rsidRPr="00603CE6">
        <w:rPr>
          <w:rFonts w:ascii="Times New Roman" w:eastAsia="宋体" w:hAnsi="Times New Roman" w:cs="Times New Roman"/>
        </w:rPr>
        <w:t xml:space="preserve"> Boreal forests show a nearly balanced P budget (Fig. </w:t>
      </w:r>
      <w:r w:rsidR="0055706B">
        <w:rPr>
          <w:rFonts w:ascii="Times New Roman" w:eastAsia="宋体" w:hAnsi="Times New Roman" w:cs="Times New Roman"/>
        </w:rPr>
        <w:t>S</w:t>
      </w:r>
      <w:r w:rsidR="002619EC">
        <w:rPr>
          <w:rFonts w:ascii="Times New Roman" w:eastAsia="宋体" w:hAnsi="Times New Roman" w:cs="Times New Roman"/>
        </w:rPr>
        <w:t>15</w:t>
      </w:r>
      <w:r w:rsidRPr="00603CE6">
        <w:rPr>
          <w:rFonts w:ascii="Times New Roman" w:eastAsia="宋体" w:hAnsi="Times New Roman" w:cs="Times New Roman"/>
        </w:rPr>
        <w:t xml:space="preserve">b). For tropical broad-leaved evergreen forests, inputs from deposition and weathering of primary and secondary minerals represent 55% and 45% of total P inputs, respectively. For other natural biomes, deposition dominates (&gt;75%) the P inputs. P losses to soil P fixation are the major P loss pathway for all biomes (Fig. </w:t>
      </w:r>
      <w:r w:rsidR="0055706B">
        <w:rPr>
          <w:rFonts w:ascii="Times New Roman" w:eastAsia="宋体" w:hAnsi="Times New Roman" w:cs="Times New Roman"/>
        </w:rPr>
        <w:t>S</w:t>
      </w:r>
      <w:r w:rsidR="002619EC">
        <w:rPr>
          <w:rFonts w:ascii="Times New Roman" w:eastAsia="宋体" w:hAnsi="Times New Roman" w:cs="Times New Roman"/>
        </w:rPr>
        <w:t>15</w:t>
      </w:r>
      <w:r w:rsidRPr="00603CE6">
        <w:rPr>
          <w:rFonts w:ascii="Times New Roman" w:eastAsia="宋体" w:hAnsi="Times New Roman" w:cs="Times New Roman"/>
        </w:rPr>
        <w:t xml:space="preserve">b). </w:t>
      </w:r>
    </w:p>
    <w:p w14:paraId="1417410B" w14:textId="692504A6" w:rsidR="00EF31D9" w:rsidRDefault="003649C9" w:rsidP="003649C9">
      <w:pPr>
        <w:spacing w:before="180"/>
        <w:jc w:val="both"/>
        <w:rPr>
          <w:rFonts w:ascii="Times New Roman" w:eastAsia="宋体" w:hAnsi="Times New Roman" w:cs="Times New Roman"/>
          <w:color w:val="000000"/>
        </w:rPr>
      </w:pPr>
      <w:r w:rsidRPr="00603CE6">
        <w:rPr>
          <w:rFonts w:ascii="Times New Roman" w:eastAsia="宋体" w:hAnsi="Times New Roman" w:cs="Times New Roman"/>
          <w:color w:val="000000"/>
        </w:rPr>
        <w:t>A net P accumulation of 1.2 Tg P yr</w:t>
      </w:r>
      <w:r w:rsidRPr="00603CE6">
        <w:rPr>
          <w:rFonts w:ascii="Times New Roman" w:eastAsia="宋体" w:hAnsi="Times New Roman" w:cs="Times New Roman"/>
          <w:color w:val="000000"/>
          <w:vertAlign w:val="superscript"/>
        </w:rPr>
        <w:t>-1</w:t>
      </w:r>
      <w:r w:rsidRPr="00603CE6">
        <w:rPr>
          <w:rFonts w:ascii="Times New Roman" w:eastAsia="宋体" w:hAnsi="Times New Roman" w:cs="Times New Roman"/>
          <w:color w:val="000000"/>
        </w:rPr>
        <w:t xml:space="preserve"> is simulated for fertilized pasture and croplands, respectively (Fig. </w:t>
      </w:r>
      <w:r w:rsidR="00A73435">
        <w:rPr>
          <w:rFonts w:ascii="Times New Roman" w:eastAsia="宋体" w:hAnsi="Times New Roman" w:cs="Times New Roman"/>
          <w:color w:val="000000"/>
        </w:rPr>
        <w:t>S</w:t>
      </w:r>
      <w:r w:rsidR="002619EC">
        <w:rPr>
          <w:rFonts w:ascii="Times New Roman" w:eastAsia="宋体" w:hAnsi="Times New Roman" w:cs="Times New Roman"/>
          <w:color w:val="000000"/>
        </w:rPr>
        <w:t>15</w:t>
      </w:r>
      <w:r w:rsidRPr="00603CE6">
        <w:rPr>
          <w:rFonts w:ascii="Times New Roman" w:eastAsia="宋体" w:hAnsi="Times New Roman" w:cs="Times New Roman"/>
          <w:color w:val="000000"/>
        </w:rPr>
        <w:t xml:space="preserve">b). Manure fertilization dominates the total pasture P input (69%~93%) but mineral fertilizers dominates the total cropland P inputs (&gt;95%). In croplands, 31% of </w:t>
      </w:r>
      <w:r w:rsidRPr="00603CE6">
        <w:rPr>
          <w:rFonts w:ascii="Times New Roman" w:eastAsia="宋体" w:hAnsi="Times New Roman" w:cs="Times New Roman"/>
          <w:color w:val="000000"/>
        </w:rPr>
        <w:lastRenderedPageBreak/>
        <w:t>cropland P input from fertilizers is harvested in crop biomass (5.9 Tg P yr</w:t>
      </w:r>
      <w:r w:rsidRPr="00603CE6">
        <w:rPr>
          <w:rFonts w:ascii="Times New Roman" w:eastAsia="宋体" w:hAnsi="Times New Roman" w:cs="Times New Roman"/>
          <w:color w:val="000000"/>
          <w:vertAlign w:val="superscript"/>
        </w:rPr>
        <w:t>-1</w:t>
      </w:r>
      <w:r w:rsidRPr="00603CE6">
        <w:rPr>
          <w:rFonts w:ascii="Times New Roman" w:eastAsia="宋体" w:hAnsi="Times New Roman" w:cs="Times New Roman"/>
          <w:color w:val="000000"/>
        </w:rPr>
        <w:t>), 36% is lost to soil P fixation (4.3 Tg P yr</w:t>
      </w:r>
      <w:r w:rsidRPr="00603CE6">
        <w:rPr>
          <w:rFonts w:ascii="Times New Roman" w:eastAsia="宋体" w:hAnsi="Times New Roman" w:cs="Times New Roman"/>
          <w:color w:val="000000"/>
          <w:vertAlign w:val="superscript"/>
        </w:rPr>
        <w:t>-1</w:t>
      </w:r>
      <w:r w:rsidRPr="00603CE6">
        <w:rPr>
          <w:rFonts w:ascii="Times New Roman" w:eastAsia="宋体" w:hAnsi="Times New Roman" w:cs="Times New Roman"/>
          <w:color w:val="000000"/>
        </w:rPr>
        <w:t>) and drainage and surface runoff (2.6 Tg P yr</w:t>
      </w:r>
      <w:r w:rsidRPr="00603CE6">
        <w:rPr>
          <w:rFonts w:ascii="Times New Roman" w:eastAsia="宋体" w:hAnsi="Times New Roman" w:cs="Times New Roman"/>
          <w:color w:val="000000"/>
          <w:vertAlign w:val="superscript"/>
        </w:rPr>
        <w:t>-1</w:t>
      </w:r>
      <w:r w:rsidRPr="00603CE6">
        <w:rPr>
          <w:rFonts w:ascii="Times New Roman" w:eastAsia="宋体" w:hAnsi="Times New Roman" w:cs="Times New Roman"/>
          <w:color w:val="000000"/>
        </w:rPr>
        <w:t xml:space="preserve">). The net P accumulation in pasture is mainly attributed to the omission of P output by grazing in ORCHIDEE-CNP. </w:t>
      </w:r>
    </w:p>
    <w:p w14:paraId="0891A714" w14:textId="5534C9D1" w:rsidR="008D00AD" w:rsidRPr="00C60E08" w:rsidRDefault="004A5AF1" w:rsidP="008D00AD">
      <w:pPr>
        <w:pStyle w:val="Heading3"/>
        <w:spacing w:before="180"/>
        <w:rPr>
          <w:rFonts w:ascii="Times New Roman" w:eastAsia="Times New Roman" w:hAnsi="Times New Roman" w:cs="Arial"/>
          <w:b/>
          <w:bCs/>
          <w:color w:val="auto"/>
          <w:sz w:val="20"/>
          <w:szCs w:val="26"/>
          <w:lang w:val="en-GB" w:eastAsia="de-DE"/>
        </w:rPr>
      </w:pPr>
      <w:r>
        <w:rPr>
          <w:rFonts w:ascii="Times New Roman" w:eastAsia="Times New Roman" w:hAnsi="Times New Roman" w:cs="Arial"/>
          <w:b/>
          <w:bCs/>
          <w:sz w:val="20"/>
          <w:szCs w:val="26"/>
          <w:lang w:val="en-GB" w:eastAsia="de-DE"/>
        </w:rPr>
        <w:t>S4</w:t>
      </w:r>
      <w:r w:rsidR="008D00AD">
        <w:rPr>
          <w:rFonts w:ascii="Times New Roman" w:eastAsia="Times New Roman" w:hAnsi="Times New Roman" w:cs="Arial"/>
          <w:b/>
          <w:bCs/>
          <w:sz w:val="20"/>
          <w:szCs w:val="26"/>
          <w:lang w:val="en-GB" w:eastAsia="de-DE"/>
        </w:rPr>
        <w:t>.</w:t>
      </w:r>
      <w:r w:rsidR="008D00AD" w:rsidRPr="00C60E08">
        <w:rPr>
          <w:rFonts w:ascii="Times New Roman" w:eastAsia="Times New Roman" w:hAnsi="Times New Roman" w:cs="Arial"/>
          <w:b/>
          <w:bCs/>
          <w:color w:val="auto"/>
          <w:sz w:val="20"/>
          <w:szCs w:val="26"/>
          <w:lang w:val="en-GB" w:eastAsia="de-DE"/>
        </w:rPr>
        <w:t xml:space="preserve">  Biological nitrogen fixation</w:t>
      </w:r>
    </w:p>
    <w:p w14:paraId="56C36CB0" w14:textId="49505980" w:rsidR="008D00AD" w:rsidRPr="00C60E08" w:rsidRDefault="008D00AD" w:rsidP="008D00AD">
      <w:pPr>
        <w:spacing w:before="180"/>
        <w:jc w:val="both"/>
        <w:rPr>
          <w:rFonts w:ascii="Times New Roman" w:eastAsia="宋体" w:hAnsi="Times New Roman" w:cs="Times New Roman"/>
        </w:rPr>
      </w:pPr>
      <w:r w:rsidRPr="00C60E08">
        <w:rPr>
          <w:rFonts w:ascii="Times New Roman" w:eastAsia="宋体" w:hAnsi="Times New Roman" w:cs="Times New Roman"/>
        </w:rPr>
        <w:t>Biological nitrogen fixation (BNF) is the major natural input of N to terrestrial ecosystems (Vitousek et al., 2013) and its temperature dependence is critical for large-scale patterns of N limitations (Du et al., 2020) while its response to changing conditions critically affects the occurrence of N limitation under increasing CO</w:t>
      </w:r>
      <w:r w:rsidRPr="00C60E08">
        <w:rPr>
          <w:rFonts w:ascii="Times New Roman" w:eastAsia="宋体" w:hAnsi="Times New Roman" w:cs="Times New Roman"/>
          <w:vertAlign w:val="subscript"/>
        </w:rPr>
        <w:t>2</w:t>
      </w:r>
      <w:r w:rsidR="00553A9A">
        <w:rPr>
          <w:rFonts w:ascii="Times New Roman" w:eastAsia="宋体" w:hAnsi="Times New Roman" w:cs="Times New Roman"/>
        </w:rPr>
        <w:t xml:space="preserve"> (Goll et al., 2017b</w:t>
      </w:r>
      <w:r w:rsidRPr="00C60E08">
        <w:rPr>
          <w:rFonts w:ascii="Times New Roman" w:eastAsia="宋体" w:hAnsi="Times New Roman" w:cs="Times New Roman"/>
        </w:rPr>
        <w:t>). Here we used BNF estimates from Sullivan et al. (2014) for tropical forests and a model-based global gridded BNP from Peng et al. (2019) to evaluate BNF in ORCHIDEE-CNP. A special attention is given to tropical forests where interactions between N and</w:t>
      </w:r>
      <w:r w:rsidR="007574F2">
        <w:rPr>
          <w:rFonts w:ascii="Times New Roman" w:eastAsia="宋体" w:hAnsi="Times New Roman" w:cs="Times New Roman"/>
        </w:rPr>
        <w:t xml:space="preserve"> P are potentially controlling </w:t>
      </w:r>
      <w:r w:rsidRPr="00C60E08">
        <w:rPr>
          <w:rFonts w:ascii="Times New Roman" w:eastAsia="宋体" w:hAnsi="Times New Roman" w:cs="Times New Roman"/>
        </w:rPr>
        <w:t>BNF (Houlton et al., 2008).</w:t>
      </w:r>
    </w:p>
    <w:p w14:paraId="65A04E52" w14:textId="290F66AF" w:rsidR="001B07EF" w:rsidRPr="001B07EF" w:rsidRDefault="008D00AD" w:rsidP="001B07EF">
      <w:pPr>
        <w:spacing w:before="180"/>
        <w:jc w:val="both"/>
        <w:rPr>
          <w:rFonts w:ascii="Times New Roman" w:eastAsia="宋体" w:hAnsi="Times New Roman" w:cs="Times New Roman"/>
        </w:rPr>
      </w:pPr>
      <w:r w:rsidRPr="00C60E08">
        <w:rPr>
          <w:rFonts w:ascii="Times New Roman" w:eastAsia="宋体" w:hAnsi="Times New Roman" w:cs="Times New Roman"/>
        </w:rPr>
        <w:t xml:space="preserve">Sullivan et al. (2014) estimated symbiotic and free-living BNF of tropical forest sites based on acetylene reduction assays with nodules, soil and litter at 12 sites, using a spatial sampling method to generate unbiased estimates of mean symbiotic BNF independent of legume trees abundance, which more robustly captures the irregular distribution of nodules in the landscape. They found plot-level measurements of BNF rates which were five times lower than used in previous empirical upscaling to the tropical forest biomes (Cleveland et al. 1999; Wang and Houlton, 2009). Recalibrating the empirical relationship between BNF and either NPP or evapotranspiration from </w:t>
      </w:r>
      <w:r w:rsidRPr="00512EB6">
        <w:rPr>
          <w:rFonts w:ascii="Times New Roman" w:eastAsia="宋体" w:hAnsi="Times New Roman" w:cs="Times New Roman"/>
        </w:rPr>
        <w:t>Cleveland</w:t>
      </w:r>
      <w:r w:rsidRPr="00C60E08">
        <w:rPr>
          <w:rFonts w:ascii="Times New Roman" w:eastAsia="宋体" w:hAnsi="Times New Roman" w:cs="Times New Roman"/>
        </w:rPr>
        <w:t xml:space="preserve"> et al. (1999) and Wang and Houlton et al. (2009) based on their plot level estimates of BNF, Sullivan et al. (2014) upscaled plot-level BNF to all tropical forests to 4.9~6.3 kg N ha</w:t>
      </w:r>
      <w:r w:rsidRPr="00C60E08">
        <w:rPr>
          <w:rFonts w:ascii="Times New Roman" w:eastAsia="宋体" w:hAnsi="Times New Roman" w:cs="Times New Roman"/>
          <w:vertAlign w:val="superscript"/>
        </w:rPr>
        <w:t>-1</w:t>
      </w:r>
      <w:r w:rsidRPr="00C60E08">
        <w:rPr>
          <w:rFonts w:ascii="Times New Roman" w:eastAsia="宋体" w:hAnsi="Times New Roman" w:cs="Times New Roman"/>
        </w:rPr>
        <w:t xml:space="preserve"> yr</w:t>
      </w:r>
      <w:r w:rsidRPr="00C60E08">
        <w:rPr>
          <w:rFonts w:ascii="Times New Roman" w:eastAsia="宋体" w:hAnsi="Times New Roman" w:cs="Times New Roman"/>
          <w:vertAlign w:val="superscript"/>
        </w:rPr>
        <w:t>-1</w:t>
      </w:r>
      <w:r w:rsidRPr="00C60E08">
        <w:rPr>
          <w:rFonts w:ascii="Times New Roman" w:eastAsia="宋体" w:hAnsi="Times New Roman" w:cs="Times New Roman"/>
        </w:rPr>
        <w:t xml:space="preserve"> and 3.7~7.8 kg N ha</w:t>
      </w:r>
      <w:r w:rsidRPr="00C60E08">
        <w:rPr>
          <w:rFonts w:ascii="Times New Roman" w:eastAsia="宋体" w:hAnsi="Times New Roman" w:cs="Times New Roman"/>
          <w:vertAlign w:val="superscript"/>
        </w:rPr>
        <w:t>-1</w:t>
      </w:r>
      <w:r w:rsidRPr="00C60E08">
        <w:rPr>
          <w:rFonts w:ascii="Times New Roman" w:eastAsia="宋体" w:hAnsi="Times New Roman" w:cs="Times New Roman"/>
        </w:rPr>
        <w:t xml:space="preserve"> yr</w:t>
      </w:r>
      <w:r w:rsidRPr="00C60E08">
        <w:rPr>
          <w:rFonts w:ascii="Times New Roman" w:eastAsia="宋体" w:hAnsi="Times New Roman" w:cs="Times New Roman"/>
          <w:vertAlign w:val="superscript"/>
        </w:rPr>
        <w:t>-1</w:t>
      </w:r>
      <w:r w:rsidRPr="00C60E08">
        <w:rPr>
          <w:rFonts w:ascii="Times New Roman" w:eastAsia="宋体" w:hAnsi="Times New Roman" w:cs="Times New Roman"/>
        </w:rPr>
        <w:t xml:space="preserve"> for first and third quantiles, respectively.</w:t>
      </w:r>
      <w:r w:rsidRPr="00C60E08">
        <w:rPr>
          <w:rFonts w:ascii="Times New Roman" w:eastAsia="宋体" w:hAnsi="Times New Roman" w:cs="Times New Roman"/>
          <w:color w:val="FF0000"/>
        </w:rPr>
        <w:t xml:space="preserve"> </w:t>
      </w:r>
      <w:r w:rsidRPr="00C60E08">
        <w:rPr>
          <w:rFonts w:ascii="Times New Roman" w:eastAsia="宋体" w:hAnsi="Times New Roman" w:cs="Times New Roman"/>
        </w:rPr>
        <w:t>Peng et al. (2019) developed a global BNF model constrained by observed C:N ratios of va</w:t>
      </w:r>
      <w:r w:rsidR="00C12B7C">
        <w:rPr>
          <w:rFonts w:ascii="Times New Roman" w:eastAsia="宋体" w:hAnsi="Times New Roman" w:cs="Times New Roman"/>
        </w:rPr>
        <w:t>rious plant pools (Sect.</w:t>
      </w:r>
      <w:r w:rsidRPr="00C60E08">
        <w:rPr>
          <w:rFonts w:ascii="Times New Roman" w:eastAsia="宋体" w:hAnsi="Times New Roman" w:cs="Times New Roman"/>
        </w:rPr>
        <w:t xml:space="preserve"> </w:t>
      </w:r>
      <w:r w:rsidR="00C12B7C">
        <w:rPr>
          <w:rFonts w:ascii="Times New Roman" w:eastAsia="宋体" w:hAnsi="Times New Roman" w:cs="Times New Roman"/>
        </w:rPr>
        <w:t>S1</w:t>
      </w:r>
      <w:r w:rsidRPr="00C60E08">
        <w:rPr>
          <w:rFonts w:ascii="Times New Roman" w:eastAsia="宋体" w:hAnsi="Times New Roman" w:cs="Times New Roman"/>
        </w:rPr>
        <w:t>D1</w:t>
      </w:r>
      <w:r w:rsidR="00C12B7C">
        <w:rPr>
          <w:rFonts w:ascii="Times New Roman" w:eastAsia="宋体" w:hAnsi="Times New Roman" w:cs="Times New Roman"/>
        </w:rPr>
        <w:t xml:space="preserve"> in the supplement</w:t>
      </w:r>
      <w:r w:rsidRPr="00C60E08">
        <w:rPr>
          <w:rFonts w:ascii="Times New Roman" w:eastAsia="宋体" w:hAnsi="Times New Roman" w:cs="Times New Roman"/>
        </w:rPr>
        <w:t>), and they simulated a higher BNF for tropical forests than Sullivan et al. (2014) with an interquartile range (IQR) of 14~43 kg N ha</w:t>
      </w:r>
      <w:r w:rsidRPr="00C60E08">
        <w:rPr>
          <w:rFonts w:ascii="Times New Roman" w:eastAsia="宋体" w:hAnsi="Times New Roman" w:cs="Times New Roman"/>
          <w:vertAlign w:val="superscript"/>
        </w:rPr>
        <w:t>-1</w:t>
      </w:r>
      <w:r w:rsidRPr="00C60E08">
        <w:rPr>
          <w:rFonts w:ascii="Times New Roman" w:eastAsia="宋体" w:hAnsi="Times New Roman" w:cs="Times New Roman"/>
        </w:rPr>
        <w:t xml:space="preserve"> yr</w:t>
      </w:r>
      <w:r w:rsidRPr="00C60E08">
        <w:rPr>
          <w:rFonts w:ascii="Times New Roman" w:eastAsia="宋体" w:hAnsi="Times New Roman" w:cs="Times New Roman"/>
          <w:vertAlign w:val="superscript"/>
        </w:rPr>
        <w:t>-1</w:t>
      </w:r>
      <w:r w:rsidRPr="00C60E08">
        <w:rPr>
          <w:rFonts w:ascii="Times New Roman" w:eastAsia="宋体" w:hAnsi="Times New Roman" w:cs="Times New Roman"/>
        </w:rPr>
        <w:t>. BNF by ORCHIDEE-CNP in tropical forests is comparable in median value (5.6 kgN ha</w:t>
      </w:r>
      <w:r w:rsidRPr="00C60E08">
        <w:rPr>
          <w:rFonts w:ascii="Times New Roman" w:eastAsia="宋体" w:hAnsi="Times New Roman" w:cs="Times New Roman"/>
          <w:vertAlign w:val="superscript"/>
        </w:rPr>
        <w:t>-1</w:t>
      </w:r>
      <w:r w:rsidRPr="00C60E08">
        <w:rPr>
          <w:rFonts w:ascii="Times New Roman" w:eastAsia="宋体" w:hAnsi="Times New Roman" w:cs="Times New Roman"/>
        </w:rPr>
        <w:t xml:space="preserve"> yr</w:t>
      </w:r>
      <w:r w:rsidRPr="00C60E08">
        <w:rPr>
          <w:rFonts w:ascii="Times New Roman" w:eastAsia="宋体" w:hAnsi="Times New Roman" w:cs="Times New Roman"/>
          <w:vertAlign w:val="superscript"/>
        </w:rPr>
        <w:t>-1</w:t>
      </w:r>
      <w:r w:rsidRPr="00C60E08">
        <w:rPr>
          <w:rFonts w:ascii="Times New Roman" w:eastAsia="宋体" w:hAnsi="Times New Roman" w:cs="Times New Roman"/>
        </w:rPr>
        <w:t>) but has a wider IQR of 2.5-7.8 kg N ha</w:t>
      </w:r>
      <w:r w:rsidRPr="00C60E08">
        <w:rPr>
          <w:rFonts w:ascii="Times New Roman" w:eastAsia="宋体" w:hAnsi="Times New Roman" w:cs="Times New Roman"/>
          <w:vertAlign w:val="superscript"/>
        </w:rPr>
        <w:t>-1</w:t>
      </w:r>
      <w:r w:rsidRPr="00C60E08">
        <w:rPr>
          <w:rFonts w:ascii="Times New Roman" w:eastAsia="宋体" w:hAnsi="Times New Roman" w:cs="Times New Roman"/>
        </w:rPr>
        <w:t xml:space="preserve"> yr</w:t>
      </w:r>
      <w:r w:rsidRPr="00C60E08">
        <w:rPr>
          <w:rFonts w:ascii="Times New Roman" w:eastAsia="宋体" w:hAnsi="Times New Roman" w:cs="Times New Roman"/>
          <w:vertAlign w:val="superscript"/>
        </w:rPr>
        <w:t xml:space="preserve">-1 </w:t>
      </w:r>
      <w:r w:rsidRPr="00C60E08">
        <w:rPr>
          <w:rFonts w:ascii="Times New Roman" w:eastAsia="宋体" w:hAnsi="Times New Roman" w:cs="Times New Roman"/>
        </w:rPr>
        <w:t xml:space="preserve">than the upscaled estimation according to Sullivan et al. (2014) (Fig. </w:t>
      </w:r>
      <w:r w:rsidR="00D61C67">
        <w:rPr>
          <w:rFonts w:ascii="Times New Roman" w:eastAsia="宋体" w:hAnsi="Times New Roman" w:cs="Times New Roman"/>
        </w:rPr>
        <w:t>S</w:t>
      </w:r>
      <w:r w:rsidR="002619EC">
        <w:rPr>
          <w:rFonts w:ascii="Times New Roman" w:eastAsia="宋体" w:hAnsi="Times New Roman" w:cs="Times New Roman"/>
        </w:rPr>
        <w:t>16</w:t>
      </w:r>
      <w:r w:rsidRPr="00C60E08">
        <w:rPr>
          <w:rFonts w:ascii="Times New Roman" w:eastAsia="宋体" w:hAnsi="Times New Roman" w:cs="Times New Roman"/>
        </w:rPr>
        <w:t>), but is lower than Peng et al. (2019)’s estimate, even lower than their first quartile. For all biomes, ORCHIDEE-CNP simulated a higher total BNF (153 Tg N yr</w:t>
      </w:r>
      <w:r w:rsidRPr="00C60E08">
        <w:rPr>
          <w:rFonts w:ascii="Times New Roman" w:eastAsia="宋体" w:hAnsi="Times New Roman" w:cs="Times New Roman"/>
          <w:vertAlign w:val="superscript"/>
        </w:rPr>
        <w:t>-1</w:t>
      </w:r>
      <w:r w:rsidRPr="00C60E08">
        <w:rPr>
          <w:rFonts w:ascii="Times New Roman" w:eastAsia="宋体" w:hAnsi="Times New Roman" w:cs="Times New Roman"/>
        </w:rPr>
        <w:t>) than Peng et al. (2019) (116 Tg N yr</w:t>
      </w:r>
      <w:r w:rsidRPr="00C60E08">
        <w:rPr>
          <w:rFonts w:ascii="Times New Roman" w:eastAsia="宋体" w:hAnsi="Times New Roman" w:cs="Times New Roman"/>
          <w:vertAlign w:val="superscript"/>
        </w:rPr>
        <w:t>-1</w:t>
      </w:r>
      <w:r w:rsidRPr="00C60E08">
        <w:rPr>
          <w:rFonts w:ascii="Times New Roman" w:eastAsia="宋体" w:hAnsi="Times New Roman" w:cs="Times New Roman"/>
        </w:rPr>
        <w:t>) and a roughly comparable spatial range (IQR = 3.1-18 kg N ha</w:t>
      </w:r>
      <w:r w:rsidRPr="00C60E08">
        <w:rPr>
          <w:rFonts w:ascii="Times New Roman" w:eastAsia="宋体" w:hAnsi="Times New Roman" w:cs="Times New Roman"/>
          <w:vertAlign w:val="superscript"/>
        </w:rPr>
        <w:t>-1</w:t>
      </w:r>
      <w:r w:rsidRPr="00C60E08">
        <w:rPr>
          <w:rFonts w:ascii="Times New Roman" w:eastAsia="宋体" w:hAnsi="Times New Roman" w:cs="Times New Roman"/>
        </w:rPr>
        <w:t xml:space="preserve"> yr</w:t>
      </w:r>
      <w:r w:rsidRPr="00C60E08">
        <w:rPr>
          <w:rFonts w:ascii="Times New Roman" w:eastAsia="宋体" w:hAnsi="Times New Roman" w:cs="Times New Roman"/>
          <w:vertAlign w:val="superscript"/>
        </w:rPr>
        <w:t>-1</w:t>
      </w:r>
      <w:r w:rsidRPr="00C60E08">
        <w:rPr>
          <w:rFonts w:ascii="Times New Roman" w:eastAsia="宋体" w:hAnsi="Times New Roman" w:cs="Times New Roman"/>
        </w:rPr>
        <w:t xml:space="preserve"> compared to 0.23-15 kg N ha</w:t>
      </w:r>
      <w:r w:rsidRPr="00C60E08">
        <w:rPr>
          <w:rFonts w:ascii="Times New Roman" w:eastAsia="宋体" w:hAnsi="Times New Roman" w:cs="Times New Roman"/>
          <w:vertAlign w:val="superscript"/>
        </w:rPr>
        <w:t>-1</w:t>
      </w:r>
      <w:r w:rsidRPr="00C60E08">
        <w:rPr>
          <w:rFonts w:ascii="Times New Roman" w:eastAsia="宋体" w:hAnsi="Times New Roman" w:cs="Times New Roman"/>
        </w:rPr>
        <w:t xml:space="preserve"> yr</w:t>
      </w:r>
      <w:r w:rsidRPr="00C60E08">
        <w:rPr>
          <w:rFonts w:ascii="Times New Roman" w:eastAsia="宋体" w:hAnsi="Times New Roman" w:cs="Times New Roman"/>
          <w:vertAlign w:val="superscript"/>
        </w:rPr>
        <w:t>-1</w:t>
      </w:r>
      <w:r w:rsidRPr="00C60E08">
        <w:rPr>
          <w:rFonts w:ascii="Times New Roman" w:eastAsia="宋体" w:hAnsi="Times New Roman" w:cs="Times New Roman"/>
        </w:rPr>
        <w:t xml:space="preserve">) (Fig. </w:t>
      </w:r>
      <w:r w:rsidR="00D61C67">
        <w:rPr>
          <w:rFonts w:ascii="Times New Roman" w:eastAsia="宋体" w:hAnsi="Times New Roman" w:cs="Times New Roman"/>
        </w:rPr>
        <w:t>S</w:t>
      </w:r>
      <w:r w:rsidR="002619EC">
        <w:rPr>
          <w:rFonts w:ascii="Times New Roman" w:eastAsia="宋体" w:hAnsi="Times New Roman" w:cs="Times New Roman"/>
        </w:rPr>
        <w:t>16</w:t>
      </w:r>
      <w:r w:rsidRPr="00C60E08">
        <w:rPr>
          <w:rFonts w:ascii="Times New Roman" w:eastAsia="宋体" w:hAnsi="Times New Roman" w:cs="Times New Roman"/>
        </w:rPr>
        <w:t xml:space="preserve">). </w:t>
      </w:r>
      <w:r w:rsidR="007574F2">
        <w:rPr>
          <w:rFonts w:ascii="Times New Roman" w:eastAsia="宋体" w:hAnsi="Times New Roman" w:cs="Times New Roman"/>
        </w:rPr>
        <w:t>Specifically, ORCHIDEE-CNP simulated</w:t>
      </w:r>
      <w:r w:rsidR="007574F2" w:rsidRPr="007574F2">
        <w:rPr>
          <w:rFonts w:ascii="Times New Roman" w:eastAsia="宋体" w:hAnsi="Times New Roman" w:cs="Times New Roman"/>
        </w:rPr>
        <w:t xml:space="preserve"> a tropical BNF which is close to estimates derived from measurements, but a higher global BNF of 153 Tg N yr-1 than previous estimates (40-128 Tg N yr-1) (Galloway et al., 2004; Vitousek et al., 2013), primarily due to an overestimation of extratropical BNF rates (Fig. </w:t>
      </w:r>
      <w:r w:rsidR="002619EC">
        <w:rPr>
          <w:rFonts w:ascii="Times New Roman" w:eastAsia="宋体" w:hAnsi="Times New Roman" w:cs="Times New Roman"/>
        </w:rPr>
        <w:t>S16</w:t>
      </w:r>
      <w:r w:rsidR="007574F2" w:rsidRPr="007574F2">
        <w:rPr>
          <w:rFonts w:ascii="Times New Roman" w:eastAsia="宋体" w:hAnsi="Times New Roman" w:cs="Times New Roman"/>
        </w:rPr>
        <w:t>). The latter is likely related to the omission of a direct temperature control on BNF in ORCHIDEE-CNP which was shown to be able to explain low BNF rates at higher latitudes (Houlton et al., 2008).</w:t>
      </w:r>
    </w:p>
    <w:p w14:paraId="298EC2F7" w14:textId="03F19078" w:rsidR="004A47A8" w:rsidRPr="00C30735" w:rsidRDefault="00294440" w:rsidP="004A47A8">
      <w:pPr>
        <w:keepNext/>
        <w:spacing w:before="240" w:after="240"/>
        <w:jc w:val="both"/>
        <w:outlineLvl w:val="2"/>
        <w:rPr>
          <w:rFonts w:ascii="Times New Roman" w:eastAsia="Times New Roman" w:hAnsi="Times New Roman" w:cs="Arial"/>
          <w:b/>
          <w:bCs/>
          <w:sz w:val="20"/>
          <w:szCs w:val="26"/>
          <w:lang w:val="en-GB" w:eastAsia="de-DE"/>
        </w:rPr>
      </w:pPr>
      <w:r>
        <w:rPr>
          <w:rFonts w:ascii="Times New Roman" w:eastAsia="Times New Roman" w:hAnsi="Times New Roman" w:cs="Arial"/>
          <w:b/>
          <w:bCs/>
          <w:sz w:val="20"/>
          <w:szCs w:val="26"/>
          <w:lang w:val="en-GB" w:eastAsia="de-DE"/>
        </w:rPr>
        <w:t>S5</w:t>
      </w:r>
      <w:r w:rsidR="004A47A8">
        <w:rPr>
          <w:rFonts w:ascii="Times New Roman" w:eastAsia="Times New Roman" w:hAnsi="Times New Roman" w:cs="Arial"/>
          <w:b/>
          <w:bCs/>
          <w:sz w:val="20"/>
          <w:szCs w:val="26"/>
          <w:lang w:val="en-GB" w:eastAsia="de-DE"/>
        </w:rPr>
        <w:t xml:space="preserve">. </w:t>
      </w:r>
      <w:r w:rsidR="004A47A8" w:rsidRPr="00C30735">
        <w:rPr>
          <w:rFonts w:ascii="Times New Roman" w:eastAsia="Times New Roman" w:hAnsi="Times New Roman" w:cs="Arial"/>
          <w:b/>
          <w:bCs/>
          <w:sz w:val="20"/>
          <w:szCs w:val="26"/>
          <w:lang w:val="en-GB" w:eastAsia="de-DE"/>
        </w:rPr>
        <w:t xml:space="preserve">N and P </w:t>
      </w:r>
      <w:r w:rsidR="004A47A8">
        <w:rPr>
          <w:rFonts w:ascii="Times New Roman" w:eastAsia="Times New Roman" w:hAnsi="Times New Roman" w:cs="Arial"/>
          <w:b/>
          <w:bCs/>
          <w:sz w:val="20"/>
          <w:szCs w:val="26"/>
          <w:lang w:val="en-GB" w:eastAsia="de-DE"/>
        </w:rPr>
        <w:t>load rates to river catchment scale</w:t>
      </w:r>
    </w:p>
    <w:p w14:paraId="64DA3746" w14:textId="77777777" w:rsidR="004A47A8" w:rsidRPr="00C30735" w:rsidRDefault="004A47A8" w:rsidP="004A47A8">
      <w:pPr>
        <w:spacing w:before="180"/>
        <w:jc w:val="both"/>
        <w:rPr>
          <w:rFonts w:ascii="Times New Roman" w:eastAsia="宋体" w:hAnsi="Times New Roman" w:cs="Times New Roman"/>
        </w:rPr>
      </w:pPr>
      <w:r w:rsidRPr="00C30735">
        <w:rPr>
          <w:rFonts w:ascii="Times New Roman" w:eastAsia="宋体" w:hAnsi="Times New Roman" w:cs="Times New Roman"/>
        </w:rPr>
        <w:t>We used the export of N and P from terrestrial systems from the</w:t>
      </w:r>
      <w:r w:rsidRPr="00C30735">
        <w:rPr>
          <w:rFonts w:ascii="Times New Roman" w:eastAsia="宋体" w:hAnsi="Times New Roman" w:cs="Times New Roman"/>
          <w:b/>
        </w:rPr>
        <w:t xml:space="preserve"> </w:t>
      </w:r>
      <w:r w:rsidRPr="00C30735">
        <w:rPr>
          <w:rFonts w:ascii="Times New Roman" w:eastAsia="宋体" w:hAnsi="Times New Roman" w:cs="Times New Roman"/>
        </w:rPr>
        <w:t>Global Nutrient Export from Water-Sheds(GlobalNEWS2) model (Table 1). This model gives N and P loading to rivers by surface runoff and drainage based on a mass-balance approach (Mayorga et al., 2010). As ORCHIDEE-CNP lacks a representation of nutrient soil infiltration and groundwater networks, we had to approximate N and P load from ORCHIDEE output variables. Since most of dissolved N in groundwater enters the river network via drainage (Bouwman et al., 2013a), we extracted annual N exported via drainage and surface runoff from the ORCHIDEE-CNP output to be compared with the GlobalNEWS2 load rates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load</m:t>
            </m:r>
          </m:sub>
        </m:sSub>
      </m:oMath>
      <w:r w:rsidRPr="00C30735">
        <w:rPr>
          <w:rFonts w:ascii="Times New Roman" w:eastAsia="宋体" w:hAnsi="Times New Roman" w:cs="Times New Roman"/>
        </w:rPr>
        <w:t>) on catchments scale:</w:t>
      </w:r>
    </w:p>
    <w:p w14:paraId="22876574" w14:textId="4FA59F7C" w:rsidR="004A47A8" w:rsidRPr="00C30735" w:rsidRDefault="00897973" w:rsidP="004A47A8">
      <w:pPr>
        <w:spacing w:before="180" w:line="360" w:lineRule="auto"/>
        <w:jc w:val="both"/>
        <w:rPr>
          <w:rFonts w:ascii="Times New Roman" w:eastAsia="Times New Roman" w:hAnsi="Times New Roman" w:cs="Times New Roman"/>
          <w:color w:val="000000"/>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load</m:t>
            </m:r>
          </m:sub>
        </m:sSub>
        <m:r>
          <w:rPr>
            <w:rFonts w:ascii="Cambria Math" w:eastAsia="Cambria Math" w:hAnsi="Cambria Math" w:cs="Cambria Math"/>
            <w:color w:val="000000"/>
          </w:rPr>
          <m:t>=</m:t>
        </m:r>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 xml:space="preserve"> runoff</m:t>
            </m:r>
          </m:sub>
        </m:sSub>
        <m:r>
          <w:rPr>
            <w:rFonts w:ascii="Cambria Math" w:eastAsia="Cambria Math" w:hAnsi="Cambria Math" w:cs="Cambria Math"/>
            <w:color w:val="000000"/>
          </w:rPr>
          <m:t>+</m:t>
        </m:r>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 xml:space="preserve"> drainage</m:t>
            </m:r>
          </m:sub>
        </m:sSub>
      </m:oMath>
      <w:r w:rsidR="004A47A8" w:rsidRPr="00C30735">
        <w:rPr>
          <w:rFonts w:ascii="Times New Roman" w:eastAsia="Times New Roman" w:hAnsi="Times New Roman" w:cs="Times New Roman"/>
          <w:color w:val="000000"/>
        </w:rPr>
        <w:t xml:space="preserve"> ,</w:t>
      </w:r>
      <w:r w:rsidR="004A47A8" w:rsidRPr="00C30735">
        <w:rPr>
          <w:rFonts w:ascii="Times New Roman" w:eastAsia="Times New Roman" w:hAnsi="Times New Roman" w:cs="Times New Roman"/>
          <w:color w:val="000000"/>
        </w:rPr>
        <w:tab/>
      </w:r>
      <w:r w:rsidR="004A47A8" w:rsidRPr="00C30735">
        <w:rPr>
          <w:rFonts w:ascii="Times New Roman" w:eastAsia="Times New Roman" w:hAnsi="Times New Roman" w:cs="Times New Roman"/>
          <w:color w:val="000000"/>
        </w:rPr>
        <w:tab/>
      </w:r>
      <w:r w:rsidR="004A47A8" w:rsidRPr="00C30735">
        <w:rPr>
          <w:rFonts w:ascii="Times New Roman" w:eastAsia="Times New Roman" w:hAnsi="Times New Roman" w:cs="Times New Roman"/>
          <w:color w:val="000000"/>
        </w:rPr>
        <w:tab/>
      </w:r>
      <w:r w:rsidR="004A47A8" w:rsidRPr="00C30735">
        <w:rPr>
          <w:rFonts w:ascii="Times New Roman" w:eastAsia="Times New Roman" w:hAnsi="Times New Roman" w:cs="Times New Roman"/>
          <w:color w:val="000000"/>
        </w:rPr>
        <w:tab/>
      </w:r>
      <w:r w:rsidR="004A47A8" w:rsidRPr="00C30735">
        <w:rPr>
          <w:rFonts w:ascii="Times New Roman" w:eastAsia="Times New Roman" w:hAnsi="Times New Roman" w:cs="Times New Roman"/>
          <w:color w:val="000000"/>
        </w:rPr>
        <w:tab/>
      </w:r>
      <w:r w:rsidR="004A47A8" w:rsidRPr="00C30735">
        <w:rPr>
          <w:rFonts w:ascii="Times New Roman" w:eastAsia="Times New Roman" w:hAnsi="Times New Roman" w:cs="Times New Roman"/>
          <w:color w:val="000000"/>
        </w:rPr>
        <w:tab/>
        <w:t xml:space="preserve">    </w:t>
      </w:r>
      <w:r w:rsidR="004A47A8" w:rsidRPr="00C30735">
        <w:rPr>
          <w:rFonts w:ascii="Times New Roman" w:eastAsia="Times New Roman" w:hAnsi="Times New Roman" w:cs="Times New Roman"/>
        </w:rPr>
        <w:t>(</w:t>
      </w:r>
      <w:r w:rsidR="00F77E5D">
        <w:rPr>
          <w:rFonts w:ascii="Times New Roman" w:eastAsia="Times New Roman" w:hAnsi="Times New Roman" w:cs="Times New Roman"/>
        </w:rPr>
        <w:t>S</w:t>
      </w:r>
      <w:r w:rsidR="004A47A8" w:rsidRPr="00C30735">
        <w:rPr>
          <w:rFonts w:ascii="Times New Roman" w:eastAsia="Times New Roman" w:hAnsi="Times New Roman" w:cs="Times New Roman"/>
        </w:rPr>
        <w:t>1)</w:t>
      </w:r>
    </w:p>
    <w:p w14:paraId="3F4BD1A2" w14:textId="77777777" w:rsidR="004A47A8" w:rsidRPr="00C30735" w:rsidRDefault="004A47A8" w:rsidP="004A47A8">
      <w:pPr>
        <w:spacing w:before="180"/>
        <w:jc w:val="both"/>
        <w:rPr>
          <w:rFonts w:ascii="Times New Roman" w:eastAsia="宋体" w:hAnsi="Times New Roman" w:cs="Times New Roman"/>
        </w:rPr>
      </w:pPr>
      <w:r w:rsidRPr="00C30735">
        <w:rPr>
          <w:rFonts w:ascii="Times New Roman" w:eastAsia="宋体" w:hAnsi="Times New Roman" w:cs="Times New Roman"/>
        </w:rPr>
        <w:t xml:space="preserve">where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 xml:space="preserve"> runoff</m:t>
            </m:r>
          </m:sub>
        </m:sSub>
      </m:oMath>
      <w:r w:rsidRPr="00C30735">
        <w:rPr>
          <w:rFonts w:ascii="Times New Roman" w:eastAsia="宋体" w:hAnsi="Times New Roman" w:cs="Times New Roman"/>
        </w:rPr>
        <w:t xml:space="preserve"> is the simulated annual N flux lost by surface runoff, and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 xml:space="preserve"> drainage</m:t>
            </m:r>
          </m:sub>
        </m:sSub>
      </m:oMath>
      <w:r w:rsidRPr="00C30735">
        <w:rPr>
          <w:rFonts w:ascii="Times New Roman" w:eastAsia="宋体" w:hAnsi="Times New Roman" w:cs="Times New Roman"/>
        </w:rPr>
        <w:t xml:space="preserve"> the annual N flux lost by drainage both in kgN km</w:t>
      </w:r>
      <w:r w:rsidRPr="00C30735">
        <w:rPr>
          <w:rFonts w:ascii="Times New Roman" w:eastAsia="宋体" w:hAnsi="Times New Roman" w:cs="Times New Roman"/>
          <w:vertAlign w:val="superscript"/>
        </w:rPr>
        <w:t>-2</w:t>
      </w:r>
      <w:r w:rsidRPr="00C30735">
        <w:rPr>
          <w:rFonts w:ascii="Times New Roman" w:eastAsia="宋体" w:hAnsi="Times New Roman" w:cs="Times New Roman"/>
        </w:rPr>
        <w:t xml:space="preserve"> yr</w:t>
      </w:r>
      <w:r w:rsidRPr="00C30735">
        <w:rPr>
          <w:rFonts w:ascii="Times New Roman" w:eastAsia="宋体" w:hAnsi="Times New Roman" w:cs="Times New Roman"/>
          <w:vertAlign w:val="superscript"/>
        </w:rPr>
        <w:t>-1</w:t>
      </w:r>
      <w:r w:rsidRPr="00C30735">
        <w:rPr>
          <w:rFonts w:ascii="Times New Roman" w:eastAsia="宋体" w:hAnsi="Times New Roman" w:cs="Times New Roman"/>
        </w:rPr>
        <w:t>.</w:t>
      </w:r>
    </w:p>
    <w:p w14:paraId="5AB5FA0F" w14:textId="16FDB4CB" w:rsidR="004A47A8" w:rsidRPr="00C30735" w:rsidRDefault="004A47A8" w:rsidP="004A47A8">
      <w:pPr>
        <w:spacing w:before="180"/>
        <w:jc w:val="both"/>
        <w:rPr>
          <w:rFonts w:ascii="Times New Roman" w:eastAsia="宋体" w:hAnsi="Times New Roman" w:cs="Times New Roman"/>
        </w:rPr>
      </w:pPr>
      <w:r w:rsidRPr="00C30735">
        <w:rPr>
          <w:rFonts w:ascii="Times New Roman" w:eastAsia="宋体" w:hAnsi="Times New Roman" w:cs="Times New Roman"/>
        </w:rPr>
        <w:t>Dissolved P which drains in deeper soil layers (</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dra</m:t>
            </m:r>
          </m:sub>
        </m:sSub>
      </m:oMath>
      <w:r w:rsidRPr="00C30735">
        <w:rPr>
          <w:rFonts w:ascii="Times New Roman" w:eastAsia="宋体" w:hAnsi="Times New Roman" w:cs="Times New Roman"/>
        </w:rPr>
        <w:t xml:space="preserve">) is mostly adsorbed by soil minerals and only a minor fraction enters the groundwater. </w:t>
      </w:r>
      <w:r w:rsidR="00237DE6" w:rsidRPr="00237DE6">
        <w:rPr>
          <w:rFonts w:ascii="Times New Roman" w:eastAsia="宋体" w:hAnsi="Times New Roman" w:cs="Times New Roman"/>
        </w:rPr>
        <w:t>Thus, the annual soil P loss via surface runoff (kg P km</w:t>
      </w:r>
      <w:r w:rsidR="00237DE6" w:rsidRPr="00237DE6">
        <w:rPr>
          <w:rFonts w:ascii="Times New Roman" w:eastAsia="宋体" w:hAnsi="Times New Roman" w:cs="Times New Roman"/>
          <w:vertAlign w:val="superscript"/>
        </w:rPr>
        <w:t>-2</w:t>
      </w:r>
      <w:r w:rsidR="00237DE6" w:rsidRPr="00237DE6">
        <w:rPr>
          <w:rFonts w:ascii="Times New Roman" w:eastAsia="宋体" w:hAnsi="Times New Roman" w:cs="Times New Roman"/>
        </w:rPr>
        <w:t xml:space="preserve"> yr</w:t>
      </w:r>
      <w:r w:rsidR="00237DE6" w:rsidRPr="00237DE6">
        <w:rPr>
          <w:rFonts w:ascii="Times New Roman" w:eastAsia="宋体" w:hAnsi="Times New Roman" w:cs="Times New Roman"/>
          <w:vertAlign w:val="superscript"/>
        </w:rPr>
        <w:t>-1</w:t>
      </w:r>
      <w:r w:rsidR="00237DE6" w:rsidRPr="00237DE6">
        <w:rPr>
          <w:rFonts w:ascii="Times New Roman" w:eastAsia="宋体" w:hAnsi="Times New Roman" w:cs="Times New Roman"/>
        </w:rPr>
        <w:t>) from the ORCHIDEE-CNP output were extracted, and were compared with the GlobalNEWS2 load rates (</w:t>
      </w:r>
      <w:r w:rsidR="00237DE6" w:rsidRPr="00237DE6">
        <w:rPr>
          <w:rFonts w:ascii="Cambria Math" w:eastAsia="Cambria Math" w:hAnsi="Cambria Math" w:cs="Cambria Math"/>
        </w:rPr>
        <w:t>𝑃</w:t>
      </w:r>
      <w:r w:rsidR="00237DE6" w:rsidRPr="00237DE6">
        <w:rPr>
          <w:rFonts w:ascii="Times New Roman" w:eastAsia="宋体" w:hAnsi="Times New Roman" w:cs="Times New Roman"/>
          <w:i/>
          <w:vertAlign w:val="subscript"/>
        </w:rPr>
        <w:t>load</w:t>
      </w:r>
      <w:r w:rsidR="00237DE6">
        <w:rPr>
          <w:rFonts w:ascii="Times New Roman" w:eastAsia="宋体" w:hAnsi="Times New Roman" w:cs="Times New Roman"/>
        </w:rPr>
        <w:t>):</w:t>
      </w:r>
    </w:p>
    <w:p w14:paraId="1246F2DC" w14:textId="1FE4303D" w:rsidR="004A47A8" w:rsidRPr="00741D5A" w:rsidRDefault="00897973" w:rsidP="004A47A8">
      <w:pPr>
        <w:spacing w:line="360" w:lineRule="auto"/>
        <w:jc w:val="both"/>
        <w:rPr>
          <w:rFonts w:ascii="Times New Roman" w:eastAsia="Times New Roman" w:hAnsi="Times New Roman" w:cs="Times New Roman"/>
          <w:color w:val="000000"/>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P</m:t>
            </m:r>
          </m:e>
          <m:sub>
            <m:r>
              <w:rPr>
                <w:rFonts w:ascii="Cambria Math" w:eastAsia="Cambria Math" w:hAnsi="Cambria Math" w:cs="Cambria Math"/>
                <w:color w:val="000000"/>
              </w:rPr>
              <m:t>load</m:t>
            </m:r>
          </m:sub>
        </m:sSub>
        <m:r>
          <w:rPr>
            <w:rFonts w:ascii="Cambria Math" w:eastAsia="Cambria Math" w:hAnsi="Cambria Math" w:cs="Cambria Math"/>
            <w:color w:val="000000"/>
          </w:rPr>
          <m:t>=</m:t>
        </m:r>
        <m:sSub>
          <m:sSubPr>
            <m:ctrlPr>
              <w:rPr>
                <w:rFonts w:ascii="Cambria Math" w:eastAsia="Cambria Math" w:hAnsi="Cambria Math" w:cs="Cambria Math"/>
                <w:color w:val="000000"/>
              </w:rPr>
            </m:ctrlPr>
          </m:sSubPr>
          <m:e>
            <m:r>
              <w:rPr>
                <w:rFonts w:ascii="Cambria Math" w:eastAsia="Cambria Math" w:hAnsi="Cambria Math" w:cs="Cambria Math"/>
                <w:color w:val="000000"/>
              </w:rPr>
              <m:t>P</m:t>
            </m:r>
          </m:e>
          <m:sub>
            <m:r>
              <w:rPr>
                <w:rFonts w:ascii="Cambria Math" w:eastAsia="Cambria Math" w:hAnsi="Cambria Math" w:cs="Cambria Math"/>
                <w:color w:val="000000"/>
              </w:rPr>
              <m:t>runoff</m:t>
            </m:r>
          </m:sub>
        </m:sSub>
      </m:oMath>
      <w:r w:rsidR="004A47A8" w:rsidRPr="00C30735">
        <w:rPr>
          <w:rFonts w:ascii="Times New Roman" w:eastAsia="Times New Roman" w:hAnsi="Times New Roman" w:cs="Times New Roman"/>
          <w:color w:val="000000"/>
        </w:rPr>
        <w:t xml:space="preserve"> ,</w:t>
      </w:r>
      <w:r w:rsidR="004A47A8" w:rsidRPr="00C30735">
        <w:rPr>
          <w:rFonts w:ascii="Times New Roman" w:eastAsia="Times New Roman" w:hAnsi="Times New Roman" w:cs="Times New Roman"/>
          <w:color w:val="000000"/>
        </w:rPr>
        <w:tab/>
      </w:r>
      <w:r w:rsidR="004A47A8" w:rsidRPr="00C30735">
        <w:rPr>
          <w:rFonts w:ascii="Times New Roman" w:eastAsia="Times New Roman" w:hAnsi="Times New Roman" w:cs="Times New Roman"/>
          <w:color w:val="000000"/>
        </w:rPr>
        <w:tab/>
      </w:r>
      <w:r w:rsidR="004A47A8" w:rsidRPr="00C30735">
        <w:rPr>
          <w:rFonts w:ascii="Times New Roman" w:eastAsia="Times New Roman" w:hAnsi="Times New Roman" w:cs="Times New Roman"/>
          <w:color w:val="000000"/>
        </w:rPr>
        <w:tab/>
      </w:r>
      <w:r w:rsidR="004A47A8" w:rsidRPr="00C30735">
        <w:rPr>
          <w:rFonts w:ascii="Times New Roman" w:eastAsia="Times New Roman" w:hAnsi="Times New Roman" w:cs="Times New Roman"/>
          <w:color w:val="000000"/>
        </w:rPr>
        <w:tab/>
      </w:r>
      <w:r w:rsidR="004A47A8" w:rsidRPr="00C30735">
        <w:rPr>
          <w:rFonts w:ascii="Times New Roman" w:eastAsia="Times New Roman" w:hAnsi="Times New Roman" w:cs="Times New Roman"/>
          <w:color w:val="000000"/>
        </w:rPr>
        <w:tab/>
      </w:r>
      <w:r w:rsidR="004A47A8" w:rsidRPr="00C30735">
        <w:rPr>
          <w:rFonts w:ascii="Times New Roman" w:eastAsia="Times New Roman" w:hAnsi="Times New Roman" w:cs="Times New Roman"/>
          <w:color w:val="000000"/>
        </w:rPr>
        <w:tab/>
      </w:r>
      <w:r w:rsidR="004A47A8" w:rsidRPr="00C30735">
        <w:rPr>
          <w:rFonts w:ascii="Times New Roman" w:eastAsia="Times New Roman" w:hAnsi="Times New Roman" w:cs="Times New Roman"/>
          <w:color w:val="000000"/>
        </w:rPr>
        <w:tab/>
      </w:r>
      <w:r w:rsidR="004A47A8">
        <w:rPr>
          <w:rFonts w:ascii="Times New Roman" w:eastAsia="Times New Roman" w:hAnsi="Times New Roman" w:cs="Times New Roman"/>
          <w:color w:val="000000"/>
        </w:rPr>
        <w:t xml:space="preserve">               </w:t>
      </w:r>
      <w:r w:rsidR="004A47A8" w:rsidRPr="00C30735">
        <w:rPr>
          <w:rFonts w:ascii="Times New Roman" w:eastAsia="Times New Roman" w:hAnsi="Times New Roman" w:cs="Times New Roman"/>
        </w:rPr>
        <w:t>(</w:t>
      </w:r>
      <w:r w:rsidR="00F77E5D">
        <w:rPr>
          <w:rFonts w:ascii="Times New Roman" w:eastAsia="Times New Roman" w:hAnsi="Times New Roman" w:cs="Times New Roman"/>
        </w:rPr>
        <w:t>S</w:t>
      </w:r>
      <w:r w:rsidR="004A47A8" w:rsidRPr="00C30735">
        <w:rPr>
          <w:rFonts w:ascii="Times New Roman" w:eastAsia="Times New Roman" w:hAnsi="Times New Roman" w:cs="Times New Roman"/>
        </w:rPr>
        <w:t>2)</w:t>
      </w:r>
    </w:p>
    <w:p w14:paraId="46DF9A7E" w14:textId="31EE2D01" w:rsidR="004A47A8" w:rsidRPr="00D13D82" w:rsidRDefault="004A47A8" w:rsidP="004A47A8">
      <w:pPr>
        <w:spacing w:before="180"/>
        <w:jc w:val="both"/>
        <w:rPr>
          <w:rFonts w:ascii="Times New Roman" w:eastAsia="宋体" w:hAnsi="Times New Roman" w:cs="Times New Roman"/>
        </w:rPr>
      </w:pPr>
      <w:r w:rsidRPr="00C85168">
        <w:rPr>
          <w:rFonts w:ascii="Times New Roman" w:eastAsia="宋体" w:hAnsi="Times New Roman" w:cs="Times New Roman"/>
        </w:rPr>
        <w:t xml:space="preserve">ORCHIDEE-CNP simulated a global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load</m:t>
            </m:r>
          </m:sub>
        </m:sSub>
      </m:oMath>
      <w:r w:rsidRPr="00C85168">
        <w:rPr>
          <w:rFonts w:ascii="Times New Roman" w:eastAsia="宋体" w:hAnsi="Times New Roman" w:cs="Times New Roman"/>
        </w:rPr>
        <w:t xml:space="preserve"> calculated over the period 2002-2010 of 55 Tg N yr</w:t>
      </w:r>
      <w:r w:rsidRPr="00C85168">
        <w:rPr>
          <w:rFonts w:ascii="Times New Roman" w:eastAsia="宋体" w:hAnsi="Times New Roman" w:cs="Times New Roman"/>
          <w:vertAlign w:val="superscript"/>
        </w:rPr>
        <w:t>-1</w:t>
      </w:r>
      <w:r w:rsidRPr="00C85168">
        <w:rPr>
          <w:rFonts w:ascii="Times New Roman" w:eastAsia="宋体" w:hAnsi="Times New Roman" w:cs="Times New Roman"/>
        </w:rPr>
        <w:t xml:space="preserve"> with</w:t>
      </w:r>
      <w:r w:rsidRPr="00C85168">
        <w:rPr>
          <w:rFonts w:ascii="Times New Roman" w:eastAsia="宋体" w:hAnsi="Times New Roman" w:cs="Times New Roman"/>
          <w:color w:val="FF0000"/>
        </w:rPr>
        <w:t xml:space="preserve">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load</m:t>
            </m:r>
          </m:sub>
        </m:sSub>
      </m:oMath>
      <w:r w:rsidRPr="00C85168">
        <w:rPr>
          <w:rFonts w:ascii="Times New Roman" w:eastAsia="宋体" w:hAnsi="Times New Roman" w:cs="Times New Roman"/>
        </w:rPr>
        <w:t xml:space="preserve"> from natural biomes being 35 Tg N yr</w:t>
      </w:r>
      <w:r w:rsidRPr="00C85168">
        <w:rPr>
          <w:rFonts w:ascii="Times New Roman" w:eastAsia="宋体" w:hAnsi="Times New Roman" w:cs="Times New Roman"/>
          <w:vertAlign w:val="superscript"/>
        </w:rPr>
        <w:t>-1</w:t>
      </w:r>
      <w:r w:rsidRPr="00C85168">
        <w:rPr>
          <w:rFonts w:ascii="Times New Roman" w:eastAsia="宋体" w:hAnsi="Times New Roman" w:cs="Times New Roman"/>
        </w:rPr>
        <w:t>, close to the estimate by GOLUM-CNP (38 Tg N yr</w:t>
      </w:r>
      <w:r w:rsidRPr="00C85168">
        <w:rPr>
          <w:rFonts w:ascii="Times New Roman" w:eastAsia="宋体" w:hAnsi="Times New Roman" w:cs="Times New Roman"/>
          <w:vertAlign w:val="superscript"/>
        </w:rPr>
        <w:t>-1</w:t>
      </w:r>
      <w:r w:rsidRPr="00C85168">
        <w:rPr>
          <w:rFonts w:ascii="Times New Roman" w:eastAsia="宋体" w:hAnsi="Times New Roman" w:cs="Times New Roman"/>
        </w:rPr>
        <w:t>) but higher than one by GlobalNEWS2 (28 Tg N yr</w:t>
      </w:r>
      <w:r w:rsidRPr="00C85168">
        <w:rPr>
          <w:rFonts w:ascii="Times New Roman" w:eastAsia="宋体" w:hAnsi="Times New Roman" w:cs="Times New Roman"/>
          <w:vertAlign w:val="superscript"/>
        </w:rPr>
        <w:t>-1</w:t>
      </w:r>
      <w:r w:rsidRPr="00C85168">
        <w:rPr>
          <w:rFonts w:ascii="Times New Roman" w:eastAsia="宋体" w:hAnsi="Times New Roman" w:cs="Times New Roman"/>
        </w:rPr>
        <w:t xml:space="preserve"> in year 2000). Simulated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load</m:t>
            </m:r>
          </m:sub>
        </m:sSub>
      </m:oMath>
      <w:r w:rsidRPr="00C85168">
        <w:rPr>
          <w:rFonts w:ascii="Times New Roman" w:eastAsia="宋体" w:hAnsi="Times New Roman" w:cs="Times New Roman"/>
        </w:rPr>
        <w:t xml:space="preserve"> from managed land, namely croplands and pastures, is 21 Tg N yr</w:t>
      </w:r>
      <w:r w:rsidRPr="00C85168">
        <w:rPr>
          <w:rFonts w:ascii="Times New Roman" w:eastAsia="宋体" w:hAnsi="Times New Roman" w:cs="Times New Roman"/>
          <w:vertAlign w:val="superscript"/>
        </w:rPr>
        <w:t>-1</w:t>
      </w:r>
      <w:r w:rsidRPr="00C85168">
        <w:rPr>
          <w:rFonts w:ascii="Times New Roman" w:eastAsia="宋体" w:hAnsi="Times New Roman" w:cs="Times New Roman"/>
        </w:rPr>
        <w:t>, about half the estimate from GlobalNEWS2 (40</w:t>
      </w:r>
      <w:r w:rsidRPr="00C85168">
        <w:rPr>
          <w:rFonts w:ascii="Arial" w:eastAsia="Arial" w:hAnsi="Arial" w:cs="Arial"/>
        </w:rPr>
        <w:t xml:space="preserve"> </w:t>
      </w:r>
      <w:r w:rsidRPr="00C85168">
        <w:rPr>
          <w:rFonts w:ascii="Times New Roman" w:eastAsia="宋体" w:hAnsi="Times New Roman" w:cs="Times New Roman"/>
        </w:rPr>
        <w:t>Tg N yr</w:t>
      </w:r>
      <w:r w:rsidRPr="00C85168">
        <w:rPr>
          <w:rFonts w:ascii="Times New Roman" w:eastAsia="宋体" w:hAnsi="Times New Roman" w:cs="Times New Roman"/>
          <w:vertAlign w:val="superscript"/>
        </w:rPr>
        <w:t>-1</w:t>
      </w:r>
      <w:r w:rsidRPr="00C85168">
        <w:rPr>
          <w:rFonts w:ascii="Times New Roman" w:eastAsia="宋体" w:hAnsi="Times New Roman" w:cs="Times New Roman"/>
        </w:rPr>
        <w:t xml:space="preserve"> in year 2000</w:t>
      </w:r>
      <w:r w:rsidRPr="00C85168">
        <w:rPr>
          <w:rFonts w:ascii="Arial" w:eastAsia="Arial" w:hAnsi="Arial" w:cs="Arial"/>
        </w:rPr>
        <w:t xml:space="preserve">; </w:t>
      </w:r>
      <w:r w:rsidRPr="00C85168">
        <w:rPr>
          <w:rFonts w:ascii="Times New Roman" w:eastAsia="宋体" w:hAnsi="Times New Roman" w:cs="Times New Roman"/>
        </w:rPr>
        <w:t xml:space="preserve">Mayorga et al., 2010). </w:t>
      </w:r>
      <w:r w:rsidR="007574F2" w:rsidRPr="007574F2">
        <w:rPr>
          <w:rFonts w:ascii="Times New Roman" w:eastAsia="宋体" w:hAnsi="Times New Roman" w:cs="Times New Roman"/>
        </w:rPr>
        <w:t xml:space="preserve">This underestimation </w:t>
      </w:r>
      <w:r w:rsidR="007574F2">
        <w:rPr>
          <w:rFonts w:ascii="Times New Roman" w:eastAsia="宋体" w:hAnsi="Times New Roman" w:cs="Times New Roman"/>
        </w:rPr>
        <w:t xml:space="preserve">by ORCHIDEE-CNP </w:t>
      </w:r>
      <w:r w:rsidR="007574F2" w:rsidRPr="007574F2">
        <w:rPr>
          <w:rFonts w:ascii="Times New Roman" w:eastAsia="宋体" w:hAnsi="Times New Roman" w:cs="Times New Roman"/>
        </w:rPr>
        <w:t>is likely due to the lower manure N fertilizer scenario, as part of the model forcing, t</w:t>
      </w:r>
      <w:r w:rsidR="005D0242">
        <w:rPr>
          <w:rFonts w:ascii="Times New Roman" w:eastAsia="宋体" w:hAnsi="Times New Roman" w:cs="Times New Roman"/>
        </w:rPr>
        <w:t>han used in GlobalNEWS2 (Fig. S2</w:t>
      </w:r>
      <w:r w:rsidR="007574F2" w:rsidRPr="007574F2">
        <w:rPr>
          <w:rFonts w:ascii="Times New Roman" w:eastAsia="宋体" w:hAnsi="Times New Roman" w:cs="Times New Roman"/>
        </w:rPr>
        <w:t>1), due to the omission of point sources such as livestock farms and sewage systems.</w:t>
      </w:r>
      <w:r w:rsidR="00D13D82">
        <w:rPr>
          <w:rFonts w:ascii="Times New Roman" w:eastAsia="宋体" w:hAnsi="Times New Roman" w:cs="Times New Roman"/>
        </w:rPr>
        <w:t xml:space="preserve"> </w:t>
      </w:r>
      <w:r w:rsidRPr="00C85168">
        <w:rPr>
          <w:rFonts w:ascii="Times New Roman" w:eastAsia="宋体" w:hAnsi="Times New Roman" w:cs="Times New Roman"/>
        </w:rPr>
        <w:t xml:space="preserve">On catchment scale,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load</m:t>
            </m:r>
          </m:sub>
        </m:sSub>
      </m:oMath>
      <w:r w:rsidRPr="00C85168">
        <w:rPr>
          <w:rFonts w:ascii="Times New Roman" w:eastAsia="宋体" w:hAnsi="Times New Roman" w:cs="Times New Roman"/>
        </w:rPr>
        <w:t xml:space="preserve"> in the year 2000 simulated by ORCHIDEE-CNP have a comparable range (0~2500 kg N km</w:t>
      </w:r>
      <w:r w:rsidRPr="00C85168">
        <w:rPr>
          <w:rFonts w:ascii="Times New Roman" w:eastAsia="宋体" w:hAnsi="Times New Roman" w:cs="Times New Roman"/>
          <w:vertAlign w:val="superscript"/>
        </w:rPr>
        <w:t>-2</w:t>
      </w:r>
      <w:r w:rsidRPr="00C85168">
        <w:rPr>
          <w:rFonts w:ascii="Times New Roman" w:eastAsia="宋体" w:hAnsi="Times New Roman" w:cs="Times New Roman"/>
        </w:rPr>
        <w:t xml:space="preserve"> yr</w:t>
      </w:r>
      <w:r w:rsidRPr="00C85168">
        <w:rPr>
          <w:rFonts w:ascii="Times New Roman" w:eastAsia="宋体" w:hAnsi="Times New Roman" w:cs="Times New Roman"/>
          <w:vertAlign w:val="superscript"/>
        </w:rPr>
        <w:t>-1</w:t>
      </w:r>
      <w:r w:rsidRPr="00C85168">
        <w:rPr>
          <w:rFonts w:ascii="Times New Roman" w:eastAsia="宋体" w:hAnsi="Times New Roman" w:cs="Times New Roman"/>
        </w:rPr>
        <w:t xml:space="preserve">) but generally lower </w:t>
      </w:r>
      <w:r w:rsidR="00482AC6">
        <w:rPr>
          <w:rFonts w:ascii="Times New Roman" w:eastAsia="宋体" w:hAnsi="Times New Roman" w:cs="Times New Roman"/>
        </w:rPr>
        <w:t xml:space="preserve">values than GlobalNEWS2 (Fig. </w:t>
      </w:r>
      <w:r w:rsidR="006F4F4C">
        <w:rPr>
          <w:rFonts w:ascii="Times New Roman" w:eastAsia="宋体" w:hAnsi="Times New Roman" w:cs="Times New Roman"/>
        </w:rPr>
        <w:t>S</w:t>
      </w:r>
      <w:r w:rsidR="00956ED2">
        <w:rPr>
          <w:rFonts w:ascii="Times New Roman" w:eastAsia="宋体" w:hAnsi="Times New Roman" w:cs="Times New Roman"/>
        </w:rPr>
        <w:t>17</w:t>
      </w:r>
      <w:r w:rsidRPr="00C85168">
        <w:rPr>
          <w:rFonts w:ascii="Times New Roman" w:eastAsia="宋体" w:hAnsi="Times New Roman" w:cs="Times New Roman"/>
        </w:rPr>
        <w:t>a to c), excepted for some basins dominated by Oxi</w:t>
      </w:r>
      <w:r w:rsidR="00956ED2">
        <w:rPr>
          <w:rFonts w:ascii="Times New Roman" w:eastAsia="宋体" w:hAnsi="Times New Roman" w:cs="Times New Roman"/>
        </w:rPr>
        <w:t>sols such as the Amazon (Fig. S18</w:t>
      </w:r>
      <w:r w:rsidRPr="00C85168">
        <w:rPr>
          <w:rFonts w:ascii="Times New Roman" w:eastAsia="宋体" w:hAnsi="Times New Roman" w:cs="Times New Roman"/>
        </w:rPr>
        <w:t xml:space="preserve">). </w:t>
      </w:r>
      <w:r w:rsidR="00D13D82" w:rsidRPr="00D13D82">
        <w:rPr>
          <w:rFonts w:ascii="Times New Roman" w:eastAsia="宋体" w:hAnsi="Times New Roman" w:cs="Times New Roman"/>
        </w:rPr>
        <w:t xml:space="preserve">The overestimation of </w:t>
      </w:r>
      <m:oMath>
        <m:sSub>
          <m:sSubPr>
            <m:ctrlPr>
              <w:rPr>
                <w:rFonts w:ascii="Cambria Math" w:eastAsia="宋体" w:hAnsi="Cambria Math" w:cs="Times New Roman"/>
              </w:rPr>
            </m:ctrlPr>
          </m:sSubPr>
          <m:e>
            <m:r>
              <w:rPr>
                <w:rFonts w:ascii="Cambria Math" w:eastAsia="宋体" w:hAnsi="Cambria Math" w:cs="Times New Roman"/>
              </w:rPr>
              <m:t>N</m:t>
            </m:r>
          </m:e>
          <m:sub>
            <m:r>
              <w:rPr>
                <w:rFonts w:ascii="Cambria Math" w:eastAsia="宋体" w:hAnsi="Cambria Math" w:cs="Times New Roman"/>
              </w:rPr>
              <m:t>load</m:t>
            </m:r>
          </m:sub>
        </m:sSub>
      </m:oMath>
      <w:r w:rsidR="00D13D82" w:rsidRPr="00D13D82">
        <w:rPr>
          <w:rFonts w:ascii="Times New Roman" w:eastAsia="宋体" w:hAnsi="Times New Roman" w:cs="Times New Roman"/>
        </w:rPr>
        <w:t xml:space="preserve"> in some tropical basins dominated by Oxiso</w:t>
      </w:r>
      <w:r w:rsidR="00956ED2">
        <w:rPr>
          <w:rFonts w:ascii="Times New Roman" w:eastAsia="宋体" w:hAnsi="Times New Roman" w:cs="Times New Roman"/>
        </w:rPr>
        <w:t>ls soils (e.g. Amazon) (Fig. S17</w:t>
      </w:r>
      <w:r w:rsidR="00D13D82" w:rsidRPr="00D13D82">
        <w:rPr>
          <w:rFonts w:ascii="Times New Roman" w:eastAsia="宋体" w:hAnsi="Times New Roman" w:cs="Times New Roman"/>
        </w:rPr>
        <w:t xml:space="preserve">) is mainly attributed to our assumptions regarding the sum of </w:t>
      </w:r>
      <m:oMath>
        <m:sSub>
          <m:sSubPr>
            <m:ctrlPr>
              <w:rPr>
                <w:rFonts w:ascii="Cambria Math" w:eastAsia="宋体" w:hAnsi="Cambria Math" w:cs="Times New Roman"/>
              </w:rPr>
            </m:ctrlPr>
          </m:sSubPr>
          <m:e>
            <m:r>
              <w:rPr>
                <w:rFonts w:ascii="Cambria Math" w:eastAsia="宋体" w:hAnsi="Cambria Math" w:cs="Times New Roman"/>
              </w:rPr>
              <m:t>N</m:t>
            </m:r>
          </m:e>
          <m:sub>
            <m:r>
              <w:rPr>
                <w:rFonts w:ascii="Cambria Math" w:eastAsia="宋体" w:hAnsi="Cambria Math" w:cs="Times New Roman"/>
              </w:rPr>
              <m:t>runoff</m:t>
            </m:r>
          </m:sub>
        </m:sSub>
      </m:oMath>
      <w:r w:rsidR="00D13D82" w:rsidRPr="00D13D82">
        <w:rPr>
          <w:rFonts w:ascii="Times New Roman" w:eastAsia="宋体" w:hAnsi="Times New Roman" w:cs="Times New Roman"/>
        </w:rPr>
        <w:t xml:space="preserve"> and </w:t>
      </w:r>
      <m:oMath>
        <m:sSub>
          <m:sSubPr>
            <m:ctrlPr>
              <w:rPr>
                <w:rFonts w:ascii="Cambria Math" w:eastAsia="宋体" w:hAnsi="Cambria Math" w:cs="Times New Roman"/>
              </w:rPr>
            </m:ctrlPr>
          </m:sSubPr>
          <m:e>
            <m:r>
              <w:rPr>
                <w:rFonts w:ascii="Cambria Math" w:eastAsia="宋体" w:hAnsi="Cambria Math" w:cs="Times New Roman"/>
              </w:rPr>
              <m:t>N</m:t>
            </m:r>
          </m:e>
          <m:sub>
            <m:r>
              <w:rPr>
                <w:rFonts w:ascii="Cambria Math" w:eastAsia="宋体" w:hAnsi="Cambria Math" w:cs="Times New Roman"/>
              </w:rPr>
              <m:t>dra</m:t>
            </m:r>
          </m:sub>
        </m:sSub>
      </m:oMath>
      <w:r w:rsidR="00D13D82" w:rsidRPr="00D13D82">
        <w:rPr>
          <w:rFonts w:ascii="Times New Roman" w:eastAsia="宋体" w:hAnsi="Times New Roman" w:cs="Times New Roman"/>
        </w:rPr>
        <w:t xml:space="preserve"> to approximate </w:t>
      </w:r>
      <m:oMath>
        <m:sSub>
          <m:sSubPr>
            <m:ctrlPr>
              <w:rPr>
                <w:rFonts w:ascii="Cambria Math" w:eastAsia="宋体" w:hAnsi="Cambria Math" w:cs="Times New Roman"/>
              </w:rPr>
            </m:ctrlPr>
          </m:sSubPr>
          <m:e>
            <m:r>
              <w:rPr>
                <w:rFonts w:ascii="Cambria Math" w:eastAsia="宋体" w:hAnsi="Cambria Math" w:cs="Times New Roman"/>
              </w:rPr>
              <m:t>N</m:t>
            </m:r>
          </m:e>
          <m:sub>
            <m:r>
              <w:rPr>
                <w:rFonts w:ascii="Cambria Math" w:eastAsia="宋体" w:hAnsi="Cambria Math" w:cs="Times New Roman"/>
              </w:rPr>
              <m:t>load</m:t>
            </m:r>
          </m:sub>
        </m:sSub>
      </m:oMath>
      <w:r w:rsidR="00425520">
        <w:rPr>
          <w:rFonts w:ascii="Times New Roman" w:eastAsia="宋体" w:hAnsi="Times New Roman" w:cs="Times New Roman"/>
        </w:rPr>
        <w:t xml:space="preserve"> (Eq. S1</w:t>
      </w:r>
      <w:r w:rsidR="00D13D82" w:rsidRPr="00D13D82">
        <w:rPr>
          <w:rFonts w:ascii="Times New Roman" w:eastAsia="宋体" w:hAnsi="Times New Roman" w:cs="Times New Roman"/>
        </w:rPr>
        <w:t xml:space="preserve">). Tropical basins have strong N denitrification losses from the groundwater as a result of large flux and high N concentration of groundwater (Bouwman et al., 2013a), thereby a part of the N is lost before the water enters the river (i.e. </w:t>
      </w:r>
      <m:oMath>
        <m:sSub>
          <m:sSubPr>
            <m:ctrlPr>
              <w:rPr>
                <w:rFonts w:ascii="Cambria Math" w:eastAsia="宋体" w:hAnsi="Cambria Math" w:cs="Times New Roman"/>
              </w:rPr>
            </m:ctrlPr>
          </m:sSubPr>
          <m:e>
            <m:r>
              <w:rPr>
                <w:rFonts w:ascii="Cambria Math" w:eastAsia="宋体" w:hAnsi="Cambria Math" w:cs="Times New Roman"/>
              </w:rPr>
              <m:t>N</m:t>
            </m:r>
          </m:e>
          <m:sub>
            <m:r>
              <w:rPr>
                <w:rFonts w:ascii="Cambria Math" w:eastAsia="宋体" w:hAnsi="Cambria Math" w:cs="Times New Roman"/>
              </w:rPr>
              <m:t>dra</m:t>
            </m:r>
          </m:sub>
        </m:sSub>
      </m:oMath>
      <w:r w:rsidR="00D13D82" w:rsidRPr="00D13D82">
        <w:rPr>
          <w:rFonts w:ascii="Times New Roman" w:eastAsia="宋体" w:hAnsi="Times New Roman" w:cs="Times New Roman"/>
        </w:rPr>
        <w:t>). Denitrification losses from groundwater are not accounted for in ORCHIDEE-CNP. In addition, ORCHIDEE-CNP applies a globally uniform ammonium sorption capacity of soils, calibrated to a limited number of soil measurements (Zaehle and Friend, 2010) which might not be applicable to highly weathered and low pH soils in the tropics.</w:t>
      </w:r>
    </w:p>
    <w:p w14:paraId="3856A6AB" w14:textId="74C7ABA8" w:rsidR="00B03245" w:rsidRPr="00B03245" w:rsidRDefault="004A47A8" w:rsidP="00B03245">
      <w:pPr>
        <w:spacing w:before="180"/>
        <w:jc w:val="both"/>
        <w:rPr>
          <w:rFonts w:ascii="Times New Roman" w:eastAsia="宋体" w:hAnsi="Times New Roman" w:cs="Times New Roman"/>
        </w:rPr>
      </w:pPr>
      <w:r w:rsidRPr="00C85168">
        <w:rPr>
          <w:rFonts w:ascii="Times New Roman" w:eastAsia="宋体" w:hAnsi="Times New Roman" w:cs="Times New Roman"/>
        </w:rPr>
        <w:t xml:space="preserve">Global total </w:t>
      </w:r>
      <m:oMath>
        <m:sSubSup>
          <m:sSubSupPr>
            <m:ctrlPr>
              <w:rPr>
                <w:rFonts w:ascii="Cambria Math" w:eastAsia="宋体" w:hAnsi="Cambria Math" w:cs="Times New Roman"/>
                <w:i/>
              </w:rPr>
            </m:ctrlPr>
          </m:sSubSupPr>
          <m:e>
            <m:r>
              <w:rPr>
                <w:rFonts w:ascii="Cambria Math" w:eastAsia="宋体" w:hAnsi="Cambria Math" w:cs="Times New Roman"/>
              </w:rPr>
              <m:t>P</m:t>
            </m:r>
          </m:e>
          <m:sub>
            <m:r>
              <w:rPr>
                <w:rFonts w:ascii="Cambria Math" w:eastAsia="宋体" w:hAnsi="Cambria Math" w:cs="Times New Roman"/>
              </w:rPr>
              <m:t>load</m:t>
            </m:r>
          </m:sub>
          <m:sup>
            <m:r>
              <w:rPr>
                <w:rFonts w:ascii="Cambria Math" w:eastAsia="宋体" w:hAnsi="Cambria Math" w:cs="Times New Roman"/>
              </w:rPr>
              <m:t>*</m:t>
            </m:r>
          </m:sup>
        </m:sSubSup>
      </m:oMath>
      <w:r w:rsidRPr="00C85168">
        <w:rPr>
          <w:rFonts w:ascii="Times New Roman" w:eastAsia="宋体" w:hAnsi="Times New Roman" w:cs="Times New Roman"/>
        </w:rPr>
        <w:t xml:space="preserve"> (</w:t>
      </w:r>
      <m:oMath>
        <m:sSubSup>
          <m:sSubSupPr>
            <m:ctrlPr>
              <w:rPr>
                <w:rFonts w:ascii="Cambria Math" w:eastAsia="宋体" w:hAnsi="Cambria Math" w:cs="Times New Roman"/>
                <w:i/>
              </w:rPr>
            </m:ctrlPr>
          </m:sSubSupPr>
          <m:e>
            <m:r>
              <w:rPr>
                <w:rFonts w:ascii="Cambria Math" w:eastAsia="宋体" w:hAnsi="Cambria Math" w:cs="Times New Roman"/>
              </w:rPr>
              <m:t>P</m:t>
            </m:r>
          </m:e>
          <m:sub>
            <m:r>
              <w:rPr>
                <w:rFonts w:ascii="Cambria Math" w:eastAsia="宋体" w:hAnsi="Cambria Math" w:cs="Times New Roman"/>
              </w:rPr>
              <m:t>load</m:t>
            </m:r>
          </m:sub>
          <m:sup>
            <m:r>
              <w:rPr>
                <w:rFonts w:ascii="Cambria Math" w:eastAsia="宋体" w:hAnsi="Cambria Math" w:cs="Times New Roman"/>
              </w:rPr>
              <m:t>*</m:t>
            </m:r>
          </m:sup>
        </m:sSubSup>
      </m:oMath>
      <w:r w:rsidRPr="00C85168">
        <w:rPr>
          <w:rFonts w:ascii="Times New Roman" w:eastAsia="宋体" w:hAnsi="Times New Roman" w:cs="Times New Roman"/>
        </w:rPr>
        <w:t xml:space="preserve"> =  </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dra</m:t>
            </m:r>
          </m:sub>
        </m:sSub>
      </m:oMath>
      <w:r w:rsidRPr="00C85168">
        <w:rPr>
          <w:rFonts w:ascii="Times New Roman" w:eastAsia="宋体" w:hAnsi="Times New Roman" w:cs="Times New Roman"/>
        </w:rPr>
        <w:t xml:space="preserve">+ </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runoff</m:t>
            </m:r>
          </m:sub>
        </m:sSub>
      </m:oMath>
      <w:r w:rsidRPr="00C85168">
        <w:rPr>
          <w:rFonts w:ascii="Times New Roman" w:eastAsia="宋体" w:hAnsi="Times New Roman" w:cs="Times New Roman"/>
        </w:rPr>
        <w:t>) is estimated at 3.8 Tg P yr</w:t>
      </w:r>
      <w:r w:rsidRPr="00C85168">
        <w:rPr>
          <w:rFonts w:ascii="Times New Roman" w:eastAsia="宋体" w:hAnsi="Times New Roman" w:cs="Times New Roman"/>
          <w:vertAlign w:val="superscript"/>
        </w:rPr>
        <w:t xml:space="preserve">-1 </w:t>
      </w:r>
      <w:r w:rsidRPr="00C85168">
        <w:rPr>
          <w:rFonts w:ascii="Times New Roman" w:eastAsia="宋体" w:hAnsi="Times New Roman" w:cs="Times New Roman"/>
        </w:rPr>
        <w:t xml:space="preserve">averaged over the period 2002-2010 in ORCHIDEE-CNP. Natural biomes account for only ~10% of global total </w:t>
      </w:r>
      <m:oMath>
        <m:sSubSup>
          <m:sSubSupPr>
            <m:ctrlPr>
              <w:rPr>
                <w:rFonts w:ascii="Cambria Math" w:eastAsia="宋体" w:hAnsi="Cambria Math" w:cs="Times New Roman"/>
                <w:i/>
              </w:rPr>
            </m:ctrlPr>
          </m:sSubSupPr>
          <m:e>
            <m:r>
              <w:rPr>
                <w:rFonts w:ascii="Cambria Math" w:eastAsia="宋体" w:hAnsi="Cambria Math" w:cs="Times New Roman"/>
              </w:rPr>
              <m:t>P</m:t>
            </m:r>
          </m:e>
          <m:sub>
            <m:r>
              <w:rPr>
                <w:rFonts w:ascii="Cambria Math" w:eastAsia="宋体" w:hAnsi="Cambria Math" w:cs="Times New Roman"/>
              </w:rPr>
              <m:t>load</m:t>
            </m:r>
          </m:sub>
          <m:sup>
            <m:r>
              <w:rPr>
                <w:rFonts w:ascii="Cambria Math" w:eastAsia="宋体" w:hAnsi="Cambria Math" w:cs="Times New Roman"/>
              </w:rPr>
              <m:t>*</m:t>
            </m:r>
          </m:sup>
        </m:sSubSup>
      </m:oMath>
      <w:r w:rsidRPr="00C85168">
        <w:rPr>
          <w:rFonts w:ascii="Times New Roman" w:eastAsia="宋体" w:hAnsi="Times New Roman" w:cs="Times New Roman"/>
        </w:rPr>
        <w:t xml:space="preserve"> (0.39 Tg P yr</w:t>
      </w:r>
      <w:r w:rsidRPr="00C85168">
        <w:rPr>
          <w:rFonts w:ascii="Times New Roman" w:eastAsia="宋体" w:hAnsi="Times New Roman" w:cs="Times New Roman"/>
          <w:vertAlign w:val="superscript"/>
        </w:rPr>
        <w:t>-1</w:t>
      </w:r>
      <w:r w:rsidRPr="00C85168">
        <w:rPr>
          <w:rFonts w:ascii="Times New Roman" w:eastAsia="宋体" w:hAnsi="Times New Roman" w:cs="Times New Roman"/>
        </w:rPr>
        <w:t xml:space="preserve">), about an order of magnitude less than in GOLUM-CNP (Table </w:t>
      </w:r>
      <w:r w:rsidR="0091779E">
        <w:rPr>
          <w:rFonts w:ascii="Times New Roman" w:eastAsia="宋体" w:hAnsi="Times New Roman" w:cs="Times New Roman"/>
        </w:rPr>
        <w:t>S4</w:t>
      </w:r>
      <w:r w:rsidRPr="00C85168">
        <w:rPr>
          <w:rFonts w:ascii="Times New Roman" w:eastAsia="宋体" w:hAnsi="Times New Roman" w:cs="Times New Roman"/>
        </w:rPr>
        <w:t xml:space="preserve">). </w:t>
      </w:r>
      <w:r w:rsidR="00D13D82" w:rsidRPr="00D13D82">
        <w:rPr>
          <w:rFonts w:ascii="Times New Roman" w:eastAsia="宋体" w:hAnsi="Times New Roman" w:cs="Times New Roman"/>
        </w:rPr>
        <w:t xml:space="preserve">This lower total </w:t>
      </w:r>
      <m:oMath>
        <m:sSubSup>
          <m:sSubSupPr>
            <m:ctrlPr>
              <w:rPr>
                <w:rFonts w:ascii="Cambria Math" w:eastAsia="宋体" w:hAnsi="Cambria Math" w:cs="Times New Roman"/>
                <w:i/>
              </w:rPr>
            </m:ctrlPr>
          </m:sSubSupPr>
          <m:e>
            <m:r>
              <w:rPr>
                <w:rFonts w:ascii="Cambria Math" w:eastAsia="宋体" w:hAnsi="Cambria Math" w:cs="Times New Roman"/>
              </w:rPr>
              <m:t>P</m:t>
            </m:r>
          </m:e>
          <m:sub>
            <m:r>
              <w:rPr>
                <w:rFonts w:ascii="Cambria Math" w:eastAsia="宋体" w:hAnsi="Cambria Math" w:cs="Times New Roman"/>
              </w:rPr>
              <m:t>load</m:t>
            </m:r>
          </m:sub>
          <m:sup>
            <m:r>
              <w:rPr>
                <w:rFonts w:ascii="Cambria Math" w:eastAsia="宋体" w:hAnsi="Cambria Math" w:cs="Times New Roman"/>
              </w:rPr>
              <m:t>*</m:t>
            </m:r>
          </m:sup>
        </m:sSubSup>
      </m:oMath>
      <w:r w:rsidR="00D13D82" w:rsidRPr="00C85168">
        <w:rPr>
          <w:rFonts w:ascii="Times New Roman" w:eastAsia="宋体" w:hAnsi="Times New Roman" w:cs="Times New Roman"/>
        </w:rPr>
        <w:t xml:space="preserve"> </w:t>
      </w:r>
      <w:r w:rsidR="00D13D82" w:rsidRPr="00D13D82">
        <w:rPr>
          <w:rFonts w:ascii="Times New Roman" w:eastAsia="宋体" w:hAnsi="Times New Roman" w:cs="Times New Roman"/>
        </w:rPr>
        <w:t>for natural biomes mainly occur</w:t>
      </w:r>
      <w:r w:rsidR="00956ED2">
        <w:rPr>
          <w:rFonts w:ascii="Times New Roman" w:eastAsia="宋体" w:hAnsi="Times New Roman" w:cs="Times New Roman"/>
        </w:rPr>
        <w:t>s in forest ecosystems (Fig. S17</w:t>
      </w:r>
      <w:r w:rsidR="00D13D82" w:rsidRPr="00D13D82">
        <w:rPr>
          <w:rFonts w:ascii="Times New Roman" w:eastAsia="宋体" w:hAnsi="Times New Roman" w:cs="Times New Roman"/>
        </w:rPr>
        <w:t>) which can be mainly attributed to the low substrate availability (i.e. dissolved P concentration) due to strong P immobilization into biomass an</w:t>
      </w:r>
      <w:r w:rsidR="00956ED2">
        <w:rPr>
          <w:rFonts w:ascii="Times New Roman" w:eastAsia="宋体" w:hAnsi="Times New Roman" w:cs="Times New Roman"/>
        </w:rPr>
        <w:t>d SOM for forests (Fig. S1</w:t>
      </w:r>
      <w:r w:rsidR="00FC3730">
        <w:rPr>
          <w:rFonts w:ascii="Times New Roman" w:eastAsia="宋体" w:hAnsi="Times New Roman" w:cs="Times New Roman"/>
        </w:rPr>
        <w:t>a, g</w:t>
      </w:r>
      <w:r w:rsidR="00D13D82" w:rsidRPr="00D13D82">
        <w:rPr>
          <w:rFonts w:ascii="Times New Roman" w:eastAsia="宋体" w:hAnsi="Times New Roman" w:cs="Times New Roman"/>
        </w:rPr>
        <w:t>) in ORCHIDEE-CNP.</w:t>
      </w:r>
      <w:r w:rsidR="00D13D82">
        <w:rPr>
          <w:rFonts w:ascii="Times New Roman" w:eastAsia="宋体" w:hAnsi="Times New Roman" w:cs="Times New Roman"/>
        </w:rPr>
        <w:t xml:space="preserve"> </w:t>
      </w:r>
      <w:r w:rsidRPr="00C85168">
        <w:rPr>
          <w:rFonts w:ascii="Times New Roman" w:eastAsia="宋体" w:hAnsi="Times New Roman" w:cs="Times New Roman"/>
        </w:rPr>
        <w:t xml:space="preserve">Croplands and pastures account for most of the global total </w:t>
      </w:r>
      <m:oMath>
        <m:sSubSup>
          <m:sSubSupPr>
            <m:ctrlPr>
              <w:rPr>
                <w:rFonts w:ascii="Cambria Math" w:eastAsia="宋体" w:hAnsi="Cambria Math" w:cs="Times New Roman"/>
                <w:i/>
              </w:rPr>
            </m:ctrlPr>
          </m:sSubSupPr>
          <m:e>
            <m:r>
              <w:rPr>
                <w:rFonts w:ascii="Cambria Math" w:eastAsia="宋体" w:hAnsi="Cambria Math" w:cs="Times New Roman"/>
              </w:rPr>
              <m:t>P</m:t>
            </m:r>
          </m:e>
          <m:sub>
            <m:r>
              <w:rPr>
                <w:rFonts w:ascii="Cambria Math" w:eastAsia="宋体" w:hAnsi="Cambria Math" w:cs="Times New Roman"/>
              </w:rPr>
              <m:t>load</m:t>
            </m:r>
          </m:sub>
          <m:sup>
            <m:r>
              <w:rPr>
                <w:rFonts w:ascii="Cambria Math" w:eastAsia="宋体" w:hAnsi="Cambria Math" w:cs="Times New Roman"/>
              </w:rPr>
              <m:t>*</m:t>
            </m:r>
          </m:sup>
        </m:sSubSup>
      </m:oMath>
      <w:r w:rsidRPr="00C85168">
        <w:rPr>
          <w:rFonts w:ascii="Times New Roman" w:eastAsia="宋体" w:hAnsi="Times New Roman" w:cs="Times New Roman"/>
        </w:rPr>
        <w:t xml:space="preserve"> with a value of 3.3 Tg P yr</w:t>
      </w:r>
      <w:r w:rsidRPr="00C85168">
        <w:rPr>
          <w:rFonts w:ascii="Times New Roman" w:eastAsia="宋体" w:hAnsi="Times New Roman" w:cs="Times New Roman"/>
          <w:vertAlign w:val="superscript"/>
        </w:rPr>
        <w:t>-1</w:t>
      </w:r>
      <w:r w:rsidRPr="00C85168">
        <w:rPr>
          <w:rFonts w:ascii="Times New Roman" w:eastAsia="宋体" w:hAnsi="Times New Roman" w:cs="Times New Roman"/>
        </w:rPr>
        <w:t xml:space="preserve"> which is rather close to the estimate of 4 Tg P yr</w:t>
      </w:r>
      <w:r w:rsidRPr="00C85168">
        <w:rPr>
          <w:rFonts w:ascii="Times New Roman" w:eastAsia="宋体" w:hAnsi="Times New Roman" w:cs="Times New Roman"/>
          <w:vertAlign w:val="superscript"/>
        </w:rPr>
        <w:t>-1</w:t>
      </w:r>
      <w:r w:rsidRPr="00C85168">
        <w:rPr>
          <w:rFonts w:ascii="Times New Roman" w:eastAsia="宋体" w:hAnsi="Times New Roman" w:cs="Times New Roman"/>
        </w:rPr>
        <w:t xml:space="preserve"> by Bouwman et al. (2013b), but lower than the 5.4 Tg P yr</w:t>
      </w:r>
      <w:r w:rsidRPr="00C85168">
        <w:rPr>
          <w:rFonts w:ascii="Times New Roman" w:eastAsia="宋体" w:hAnsi="Times New Roman" w:cs="Times New Roman"/>
          <w:vertAlign w:val="superscript"/>
        </w:rPr>
        <w:t>-1</w:t>
      </w:r>
      <w:r w:rsidRPr="00C85168">
        <w:rPr>
          <w:rFonts w:ascii="Times New Roman" w:eastAsia="宋体" w:hAnsi="Times New Roman" w:cs="Times New Roman"/>
        </w:rPr>
        <w:t xml:space="preserve"> reported by Lun et al. (2018) and higher than in Mekonnen and Hoekstra (2018) (0.6 Tg P yr</w:t>
      </w:r>
      <w:r w:rsidRPr="00C85168">
        <w:rPr>
          <w:rFonts w:ascii="Times New Roman" w:eastAsia="宋体" w:hAnsi="Times New Roman" w:cs="Times New Roman"/>
          <w:vertAlign w:val="superscript"/>
        </w:rPr>
        <w:t>-1</w:t>
      </w:r>
      <w:r w:rsidR="0091779E">
        <w:rPr>
          <w:rFonts w:ascii="Times New Roman" w:eastAsia="宋体" w:hAnsi="Times New Roman" w:cs="Times New Roman"/>
        </w:rPr>
        <w:t>) (Table S3</w:t>
      </w:r>
      <w:r w:rsidRPr="00C85168">
        <w:rPr>
          <w:rFonts w:ascii="Times New Roman" w:eastAsia="宋体" w:hAnsi="Times New Roman" w:cs="Times New Roman"/>
        </w:rPr>
        <w:t xml:space="preserve">). </w:t>
      </w:r>
      <w:r w:rsidR="00D13D82" w:rsidRPr="00D13D82">
        <w:rPr>
          <w:rFonts w:ascii="Times New Roman" w:eastAsia="宋体" w:hAnsi="Times New Roman" w:cs="Times New Roman"/>
        </w:rPr>
        <w:t>ORCHIDEE-CNP cannot capture the high P losses from extremely high livestock densities in small areas where soil P retention capacities have been reached. Besides, Lun et al. (2018) considered sludge inputs (1.4 Tg P yr</w:t>
      </w:r>
      <w:r w:rsidR="00D13D82" w:rsidRPr="00D13D82">
        <w:rPr>
          <w:rFonts w:ascii="Times New Roman" w:eastAsia="宋体" w:hAnsi="Times New Roman" w:cs="Times New Roman"/>
          <w:vertAlign w:val="superscript"/>
        </w:rPr>
        <w:t>-1</w:t>
      </w:r>
      <w:r w:rsidR="00D13D82" w:rsidRPr="00D13D82">
        <w:rPr>
          <w:rFonts w:ascii="Times New Roman" w:eastAsia="宋体" w:hAnsi="Times New Roman" w:cs="Times New Roman"/>
        </w:rPr>
        <w:t xml:space="preserve"> in year 2000), which are omitted in ORCHIDEE-CNP.</w:t>
      </w:r>
      <w:r w:rsidR="00C46B75">
        <w:rPr>
          <w:rFonts w:ascii="Times New Roman" w:eastAsia="宋体" w:hAnsi="Times New Roman" w:cs="Times New Roman"/>
        </w:rPr>
        <w:t xml:space="preserve"> </w:t>
      </w:r>
      <w:r w:rsidRPr="00C85168">
        <w:rPr>
          <w:rFonts w:ascii="Times New Roman" w:eastAsia="宋体" w:hAnsi="Times New Roman" w:cs="Times New Roman"/>
        </w:rPr>
        <w:t xml:space="preserve">The simulated values of </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load</m:t>
            </m:r>
          </m:sub>
        </m:sSub>
      </m:oMath>
      <w:r w:rsidR="00DB174D">
        <w:rPr>
          <w:rFonts w:ascii="Times New Roman" w:eastAsia="宋体" w:hAnsi="Times New Roman" w:cs="Times New Roman"/>
        </w:rPr>
        <w:t xml:space="preserve"> (Eq. S2</w:t>
      </w:r>
      <w:r w:rsidRPr="00C85168">
        <w:rPr>
          <w:rFonts w:ascii="Times New Roman" w:eastAsia="宋体" w:hAnsi="Times New Roman" w:cs="Times New Roman"/>
        </w:rPr>
        <w:t>)</w:t>
      </w:r>
      <w:r w:rsidRPr="00C85168">
        <w:rPr>
          <w:rFonts w:ascii="Times New Roman" w:eastAsia="宋体" w:hAnsi="Times New Roman" w:cs="Times New Roman"/>
          <w:i/>
        </w:rPr>
        <w:t xml:space="preserve"> </w:t>
      </w:r>
      <w:r w:rsidRPr="00C85168">
        <w:rPr>
          <w:rFonts w:ascii="Times New Roman" w:eastAsia="宋体" w:hAnsi="Times New Roman" w:cs="Times New Roman"/>
        </w:rPr>
        <w:t xml:space="preserve">at catchment scale are in the same order of magnitude than estimates from GlobalNEWS2 (Mayorga et al., 2010). However, ORCHIDEE-CNP simulates generally lower </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load</m:t>
            </m:r>
          </m:sub>
        </m:sSub>
      </m:oMath>
      <w:r w:rsidRPr="00C85168">
        <w:rPr>
          <w:rFonts w:ascii="Times New Roman" w:eastAsia="宋体" w:hAnsi="Times New Roman" w:cs="Times New Roman"/>
          <w:i/>
        </w:rPr>
        <w:t xml:space="preserve"> </w:t>
      </w:r>
      <w:r w:rsidRPr="00C85168">
        <w:rPr>
          <w:rFonts w:ascii="Times New Roman" w:eastAsia="宋体" w:hAnsi="Times New Roman" w:cs="Times New Roman"/>
        </w:rPr>
        <w:t>over the Amazon and Central African basins</w:t>
      </w:r>
      <w:r w:rsidR="00956ED2">
        <w:rPr>
          <w:rFonts w:ascii="Times New Roman" w:eastAsia="宋体" w:hAnsi="Times New Roman" w:cs="Times New Roman"/>
        </w:rPr>
        <w:t xml:space="preserve"> </w:t>
      </w:r>
      <w:r w:rsidRPr="00C85168">
        <w:rPr>
          <w:rFonts w:ascii="Times New Roman" w:eastAsia="宋体" w:hAnsi="Times New Roman" w:cs="Times New Roman"/>
        </w:rPr>
        <w:t>compared to GlobalNEWS2</w:t>
      </w:r>
      <w:r w:rsidR="002F0914">
        <w:rPr>
          <w:rFonts w:ascii="Times New Roman" w:eastAsia="宋体" w:hAnsi="Times New Roman" w:cs="Times New Roman"/>
        </w:rPr>
        <w:t xml:space="preserve"> (Mayorga et al., 2010) (Fig. </w:t>
      </w:r>
      <w:r w:rsidR="00B80842">
        <w:rPr>
          <w:rFonts w:ascii="Times New Roman" w:eastAsia="宋体" w:hAnsi="Times New Roman" w:cs="Times New Roman"/>
        </w:rPr>
        <w:t>S</w:t>
      </w:r>
      <w:r w:rsidR="00956ED2">
        <w:rPr>
          <w:rFonts w:ascii="Times New Roman" w:eastAsia="宋体" w:hAnsi="Times New Roman" w:cs="Times New Roman"/>
        </w:rPr>
        <w:t>17</w:t>
      </w:r>
      <w:r w:rsidRPr="00C85168">
        <w:rPr>
          <w:rFonts w:ascii="Times New Roman" w:eastAsia="宋体" w:hAnsi="Times New Roman" w:cs="Times New Roman"/>
        </w:rPr>
        <w:t xml:space="preserve">d, e). </w:t>
      </w:r>
      <w:r w:rsidR="00D13D82" w:rsidRPr="00D13D82">
        <w:rPr>
          <w:rFonts w:ascii="Times New Roman" w:eastAsia="宋体" w:hAnsi="Times New Roman" w:cs="Times New Roman"/>
        </w:rPr>
        <w:t xml:space="preserve">This underestimation can be partly attributed to the strong P fixation capacity of soil (i.e. occlusion) in tropical regions in ORCHIDEE-CNP, which is related to a fast turnover of soil inorganic P </w:t>
      </w:r>
      <w:r w:rsidR="00D13D82" w:rsidRPr="00D13D82">
        <w:rPr>
          <w:rFonts w:ascii="Times New Roman" w:eastAsia="宋体" w:hAnsi="Times New Roman" w:cs="Times New Roman"/>
        </w:rPr>
        <w:lastRenderedPageBreak/>
        <w:t>(</w:t>
      </w:r>
      <w:r w:rsidR="002D1AFD">
        <w:rPr>
          <w:rFonts w:ascii="Times New Roman" w:eastAsia="宋体" w:hAnsi="Times New Roman" w:cs="Times New Roman"/>
        </w:rPr>
        <w:t>Sect. S6 in the supplement</w:t>
      </w:r>
      <w:r w:rsidR="00D13D82" w:rsidRPr="00D13D82">
        <w:rPr>
          <w:rFonts w:ascii="Times New Roman" w:eastAsia="宋体" w:hAnsi="Times New Roman" w:cs="Times New Roman"/>
        </w:rPr>
        <w:t xml:space="preserve">). Note that </w:t>
      </w:r>
      <m:oMath>
        <m:sSub>
          <m:sSubPr>
            <m:ctrlPr>
              <w:rPr>
                <w:rFonts w:ascii="Cambria Math" w:eastAsia="宋体" w:hAnsi="Cambria Math" w:cs="Times New Roman"/>
              </w:rPr>
            </m:ctrlPr>
          </m:sSubPr>
          <m:e>
            <m:r>
              <w:rPr>
                <w:rFonts w:ascii="Cambria Math" w:eastAsia="宋体" w:hAnsi="Cambria Math" w:cs="Times New Roman"/>
              </w:rPr>
              <m:t>P</m:t>
            </m:r>
          </m:e>
          <m:sub>
            <m:r>
              <w:rPr>
                <w:rFonts w:ascii="Cambria Math" w:eastAsia="宋体" w:hAnsi="Cambria Math" w:cs="Times New Roman"/>
              </w:rPr>
              <m:t>dra</m:t>
            </m:r>
          </m:sub>
        </m:sSub>
      </m:oMath>
      <w:r w:rsidR="00D13D82" w:rsidRPr="00D13D82">
        <w:rPr>
          <w:rFonts w:ascii="Times New Roman" w:eastAsia="宋体" w:hAnsi="Times New Roman" w:cs="Times New Roman"/>
        </w:rPr>
        <w:t xml:space="preserve"> is small but non-negligible in surface and shallow subsurface runoff (Mayorga et al., 2010), and ignoring this flux for </w:t>
      </w:r>
      <m:oMath>
        <m:sSub>
          <m:sSubPr>
            <m:ctrlPr>
              <w:rPr>
                <w:rFonts w:ascii="Cambria Math" w:eastAsia="宋体" w:hAnsi="Cambria Math" w:cs="Times New Roman"/>
              </w:rPr>
            </m:ctrlPr>
          </m:sSubPr>
          <m:e>
            <m:r>
              <w:rPr>
                <w:rFonts w:ascii="Cambria Math" w:eastAsia="宋体" w:hAnsi="Cambria Math" w:cs="Times New Roman"/>
              </w:rPr>
              <m:t>P</m:t>
            </m:r>
          </m:e>
          <m:sub>
            <m:r>
              <w:rPr>
                <w:rFonts w:ascii="Cambria Math" w:eastAsia="宋体" w:hAnsi="Cambria Math" w:cs="Times New Roman"/>
              </w:rPr>
              <m:t>load</m:t>
            </m:r>
          </m:sub>
        </m:sSub>
      </m:oMath>
      <w:r w:rsidR="00FC3730">
        <w:rPr>
          <w:rFonts w:ascii="Times New Roman" w:eastAsia="宋体" w:hAnsi="Times New Roman" w:cs="Times New Roman"/>
        </w:rPr>
        <w:t xml:space="preserve"> </w:t>
      </w:r>
      <w:r w:rsidR="00D13D82" w:rsidRPr="00D13D82">
        <w:rPr>
          <w:rFonts w:ascii="Times New Roman" w:eastAsia="宋体" w:hAnsi="Times New Roman" w:cs="Times New Roman"/>
        </w:rPr>
        <w:t xml:space="preserve">may lead to our underestimation of </w:t>
      </w:r>
      <m:oMath>
        <m:sSub>
          <m:sSubPr>
            <m:ctrlPr>
              <w:rPr>
                <w:rFonts w:ascii="Cambria Math" w:eastAsia="宋体" w:hAnsi="Cambria Math" w:cs="Times New Roman"/>
              </w:rPr>
            </m:ctrlPr>
          </m:sSubPr>
          <m:e>
            <m:r>
              <w:rPr>
                <w:rFonts w:ascii="Cambria Math" w:eastAsia="宋体" w:hAnsi="Cambria Math" w:cs="Times New Roman"/>
              </w:rPr>
              <m:t>P</m:t>
            </m:r>
          </m:e>
          <m:sub>
            <m:r>
              <w:rPr>
                <w:rFonts w:ascii="Cambria Math" w:eastAsia="宋体" w:hAnsi="Cambria Math" w:cs="Times New Roman"/>
              </w:rPr>
              <m:t>load</m:t>
            </m:r>
          </m:sub>
        </m:sSub>
      </m:oMath>
      <w:r w:rsidR="00FC3730">
        <w:rPr>
          <w:rFonts w:ascii="Times New Roman" w:eastAsia="宋体" w:hAnsi="Times New Roman" w:cs="Times New Roman"/>
        </w:rPr>
        <w:t xml:space="preserve"> (Eq. S2</w:t>
      </w:r>
      <w:r w:rsidR="00D13D82" w:rsidRPr="00D13D82">
        <w:rPr>
          <w:rFonts w:ascii="Times New Roman" w:eastAsia="宋体" w:hAnsi="Times New Roman" w:cs="Times New Roman"/>
        </w:rPr>
        <w:t xml:space="preserve">). Simulated </w:t>
      </w:r>
      <m:oMath>
        <m:sSub>
          <m:sSubPr>
            <m:ctrlPr>
              <w:rPr>
                <w:rFonts w:ascii="Cambria Math" w:eastAsia="宋体" w:hAnsi="Cambria Math" w:cs="Times New Roman"/>
              </w:rPr>
            </m:ctrlPr>
          </m:sSubPr>
          <m:e>
            <m:r>
              <w:rPr>
                <w:rFonts w:ascii="Cambria Math" w:eastAsia="宋体" w:hAnsi="Cambria Math" w:cs="Times New Roman"/>
              </w:rPr>
              <m:t>P</m:t>
            </m:r>
          </m:e>
          <m:sub>
            <m:r>
              <w:rPr>
                <w:rFonts w:ascii="Cambria Math" w:eastAsia="宋体" w:hAnsi="Cambria Math" w:cs="Times New Roman"/>
              </w:rPr>
              <m:t>load</m:t>
            </m:r>
          </m:sub>
        </m:sSub>
      </m:oMath>
      <w:r w:rsidR="00D13D82" w:rsidRPr="00D13D82">
        <w:rPr>
          <w:rFonts w:ascii="Times New Roman" w:eastAsia="宋体" w:hAnsi="Times New Roman" w:cs="Times New Roman"/>
        </w:rPr>
        <w:t xml:space="preserve"> is also higher than GlobalNEWS2 in European catchments, where </w:t>
      </w:r>
      <w:r w:rsidR="00956ED2">
        <w:rPr>
          <w:rFonts w:ascii="Times New Roman" w:eastAsia="宋体" w:hAnsi="Times New Roman" w:cs="Times New Roman"/>
        </w:rPr>
        <w:t>pasture is widespread (Fig. 17</w:t>
      </w:r>
      <w:r w:rsidR="00D13D82" w:rsidRPr="00D13D82">
        <w:rPr>
          <w:rFonts w:ascii="Times New Roman" w:eastAsia="宋体" w:hAnsi="Times New Roman" w:cs="Times New Roman"/>
        </w:rPr>
        <w:t>d, e), which can be attributed to either a less effective soil P sorption capacity or the omission of grazing which enhances the mineralization of organic P and as a consequence inorganic P losses.</w:t>
      </w:r>
    </w:p>
    <w:p w14:paraId="7E4BD333" w14:textId="3BEB4890" w:rsidR="00124C95" w:rsidRPr="00C85168" w:rsidRDefault="00124C95" w:rsidP="00124C95">
      <w:pPr>
        <w:keepNext/>
        <w:spacing w:before="240" w:after="240"/>
        <w:jc w:val="both"/>
        <w:outlineLvl w:val="2"/>
        <w:rPr>
          <w:rFonts w:ascii="Times New Roman" w:eastAsia="Times New Roman" w:hAnsi="Times New Roman" w:cs="Arial"/>
          <w:b/>
          <w:bCs/>
          <w:sz w:val="20"/>
          <w:szCs w:val="26"/>
          <w:lang w:eastAsia="de-DE"/>
        </w:rPr>
      </w:pPr>
      <w:r w:rsidRPr="00655228">
        <w:rPr>
          <w:rFonts w:ascii="Times New Roman" w:eastAsia="Times New Roman" w:hAnsi="Times New Roman" w:cs="Arial"/>
          <w:b/>
          <w:bCs/>
          <w:sz w:val="20"/>
          <w:szCs w:val="26"/>
          <w:lang w:val="en-GB" w:eastAsia="de-DE"/>
        </w:rPr>
        <w:t>S</w:t>
      </w:r>
      <w:r w:rsidR="007A33C1">
        <w:rPr>
          <w:rFonts w:ascii="Times New Roman" w:eastAsia="Times New Roman" w:hAnsi="Times New Roman" w:cs="Arial"/>
          <w:b/>
          <w:bCs/>
          <w:sz w:val="20"/>
          <w:szCs w:val="26"/>
          <w:lang w:eastAsia="de-DE"/>
        </w:rPr>
        <w:t>6</w:t>
      </w:r>
      <w:r w:rsidRPr="00655228">
        <w:rPr>
          <w:rFonts w:ascii="Times New Roman" w:eastAsia="Times New Roman" w:hAnsi="Times New Roman" w:cs="Arial"/>
          <w:b/>
          <w:bCs/>
          <w:sz w:val="20"/>
          <w:szCs w:val="26"/>
          <w:lang w:eastAsia="de-DE"/>
        </w:rPr>
        <w:t xml:space="preserve">. </w:t>
      </w:r>
      <w:r w:rsidRPr="00C85168">
        <w:rPr>
          <w:rFonts w:ascii="Times New Roman" w:eastAsia="Times New Roman" w:hAnsi="Times New Roman" w:cs="Arial"/>
          <w:b/>
          <w:bCs/>
          <w:sz w:val="20"/>
          <w:szCs w:val="26"/>
          <w:lang w:val="en-GB" w:eastAsia="de-DE"/>
        </w:rPr>
        <w:t>Soil solution inorganic phosphorus turnover rate</w:t>
      </w:r>
    </w:p>
    <w:p w14:paraId="3DF253F9" w14:textId="08E9099C" w:rsidR="00124C95" w:rsidRPr="00C85168" w:rsidRDefault="000F06FA" w:rsidP="00124C95">
      <w:pPr>
        <w:spacing w:before="180"/>
        <w:jc w:val="both"/>
        <w:rPr>
          <w:rFonts w:ascii="Times New Roman" w:eastAsia="宋体" w:hAnsi="Times New Roman" w:cs="Times New Roman"/>
        </w:rPr>
      </w:pPr>
      <w:r w:rsidRPr="000F06FA">
        <w:rPr>
          <w:rFonts w:ascii="Times New Roman" w:eastAsia="宋体" w:hAnsi="Times New Roman" w:cs="Times New Roman"/>
        </w:rPr>
        <w:t>The simulated soil P fluxes cannot be evaluated against direct observations (Frossard et al., 2011). Here we used pool turnover times instead o</w:t>
      </w:r>
      <w:r>
        <w:rPr>
          <w:rFonts w:ascii="Times New Roman" w:eastAsia="宋体" w:hAnsi="Times New Roman" w:cs="Times New Roman"/>
        </w:rPr>
        <w:t>f fluxes to evaluate P dynamics, as t</w:t>
      </w:r>
      <w:r w:rsidR="00124C95" w:rsidRPr="00C85168">
        <w:rPr>
          <w:rFonts w:ascii="Times New Roman" w:eastAsia="宋体" w:hAnsi="Times New Roman" w:cs="Times New Roman"/>
        </w:rPr>
        <w:t>he turnover of P in the soil solution is an important component of P bioavailability in soil (Helfenstein et al., 2018). We compared soil solution P turnover in ORCHIDEE-CNP with empirical data from isotope exchange kinetic (IEK) experiments (Fardeau et al. 1991; Frossard et al. 2011). IEK experiments measure the exchange rate of inorganic P between soil solution and the soil solid phase (</w:t>
      </w: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m</m:t>
            </m:r>
          </m:sub>
        </m:sSub>
      </m:oMath>
      <w:r w:rsidR="00124C95" w:rsidRPr="00C85168">
        <w:rPr>
          <w:rFonts w:ascii="Times New Roman" w:eastAsia="宋体" w:hAnsi="Times New Roman" w:cs="Times New Roman"/>
        </w:rPr>
        <w:t>, unit: min</w:t>
      </w:r>
      <w:r w:rsidR="00124C95" w:rsidRPr="00C85168">
        <w:rPr>
          <w:rFonts w:ascii="Times New Roman" w:eastAsia="宋体" w:hAnsi="Times New Roman" w:cs="Times New Roman"/>
          <w:vertAlign w:val="superscript"/>
        </w:rPr>
        <w:t>-1</w:t>
      </w:r>
      <w:r w:rsidR="00124C95" w:rsidRPr="00C85168">
        <w:rPr>
          <w:rFonts w:ascii="Times New Roman" w:eastAsia="宋体" w:hAnsi="Times New Roman" w:cs="Times New Roman"/>
        </w:rPr>
        <w:t xml:space="preserve">) in laboratory conditions, omitting biological processes. The inorganic exchange processes captured in </w:t>
      </w: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m</m:t>
            </m:r>
          </m:sub>
        </m:sSub>
      </m:oMath>
      <w:r w:rsidR="00124C95" w:rsidRPr="00C85168">
        <w:rPr>
          <w:rFonts w:ascii="Times New Roman" w:eastAsia="宋体" w:hAnsi="Times New Roman" w:cs="Times New Roman"/>
        </w:rPr>
        <w:t xml:space="preserve"> dominate short-term P fluxes. </w:t>
      </w:r>
    </w:p>
    <w:p w14:paraId="148C4875" w14:textId="77777777" w:rsidR="00124C95" w:rsidRPr="00C85168" w:rsidRDefault="00124C95" w:rsidP="00124C95">
      <w:pPr>
        <w:spacing w:before="180"/>
        <w:jc w:val="both"/>
        <w:rPr>
          <w:rFonts w:ascii="Times New Roman" w:eastAsia="宋体" w:hAnsi="Times New Roman" w:cs="Times New Roman"/>
        </w:rPr>
      </w:pPr>
      <w:r w:rsidRPr="00C85168">
        <w:rPr>
          <w:rFonts w:ascii="Times New Roman" w:eastAsia="宋体" w:hAnsi="Times New Roman" w:cs="Times New Roman"/>
        </w:rPr>
        <w:t xml:space="preserve">For a straightforward comparison (excluding biological uptake process from model output to match the experimental method used for measuring), we diagnosed </w:t>
      </w: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m</m:t>
            </m:r>
          </m:sub>
        </m:sSub>
      </m:oMath>
      <w:r w:rsidRPr="00C85168">
        <w:rPr>
          <w:rFonts w:ascii="Times New Roman" w:eastAsia="宋体" w:hAnsi="Times New Roman" w:cs="Times New Roman"/>
        </w:rPr>
        <w:t xml:space="preserve"> (unit: min</w:t>
      </w:r>
      <w:r w:rsidRPr="00C85168">
        <w:rPr>
          <w:rFonts w:ascii="Times New Roman" w:eastAsia="宋体" w:hAnsi="Times New Roman" w:cs="Times New Roman"/>
          <w:vertAlign w:val="superscript"/>
        </w:rPr>
        <w:t>-1</w:t>
      </w:r>
      <w:r w:rsidRPr="00C85168">
        <w:rPr>
          <w:rFonts w:ascii="Times New Roman" w:eastAsia="宋体" w:hAnsi="Times New Roman" w:cs="Times New Roman"/>
        </w:rPr>
        <w:t>) in the simulations from the net exchange between dissolved and sorbed labile P:</w:t>
      </w:r>
    </w:p>
    <w:p w14:paraId="64C4718A" w14:textId="52E3DF3A" w:rsidR="00124C95" w:rsidRPr="00C85168" w:rsidRDefault="00897973" w:rsidP="00124C95">
      <w:pPr>
        <w:spacing w:before="180"/>
        <w:jc w:val="both"/>
        <w:rPr>
          <w:rFonts w:ascii="Times New Roman" w:eastAsia="宋体" w:hAnsi="Times New Roman" w:cs="Times New Roman"/>
        </w:rPr>
      </w:pPr>
      <m:oMath>
        <m:sSub>
          <m:sSubPr>
            <m:ctrlPr>
              <w:rPr>
                <w:rFonts w:ascii="Cambria Math" w:eastAsia="Cambria Math" w:hAnsi="Cambria Math" w:cs="Times New Roman"/>
              </w:rPr>
            </m:ctrlPr>
          </m:sSubPr>
          <m:e>
            <m:r>
              <w:rPr>
                <w:rFonts w:ascii="Cambria Math" w:eastAsia="Cambria Math" w:hAnsi="Cambria Math" w:cs="Times New Roman"/>
              </w:rPr>
              <m:t>K</m:t>
            </m:r>
          </m:e>
          <m:sub>
            <m:r>
              <w:rPr>
                <w:rFonts w:ascii="Cambria Math" w:eastAsia="Cambria Math" w:hAnsi="Cambria Math" w:cs="Times New Roman"/>
              </w:rPr>
              <m:t>m</m:t>
            </m:r>
          </m:sub>
        </m:sSub>
        <m:r>
          <w:rPr>
            <w:rFonts w:ascii="Cambria Math" w:eastAsia="Cambria Math" w:hAnsi="Cambria Math" w:cs="Times New Roman"/>
          </w:rPr>
          <m:t>=</m:t>
        </m:r>
        <m:f>
          <m:fPr>
            <m:ctrlPr>
              <w:rPr>
                <w:rFonts w:ascii="Cambria Math" w:eastAsia="Cambria Math" w:hAnsi="Cambria Math" w:cs="Times New Roman"/>
              </w:rPr>
            </m:ctrlPr>
          </m:fPr>
          <m:num>
            <m:sSub>
              <m:sSubPr>
                <m:ctrlPr>
                  <w:rPr>
                    <w:rFonts w:ascii="Cambria Math" w:eastAsia="Cambria Math" w:hAnsi="Cambria Math" w:cs="Times New Roman"/>
                  </w:rPr>
                </m:ctrlPr>
              </m:sSubPr>
              <m:e>
                <m:r>
                  <w:rPr>
                    <w:rFonts w:ascii="Cambria Math" w:eastAsia="Cambria Math" w:hAnsi="Cambria Math" w:cs="Times New Roman"/>
                  </w:rPr>
                  <m:t>P</m:t>
                </m:r>
              </m:e>
              <m:sub>
                <m:r>
                  <w:rPr>
                    <w:rFonts w:ascii="Cambria Math" w:eastAsia="Cambria Math" w:hAnsi="Cambria Math" w:cs="Times New Roman"/>
                  </w:rPr>
                  <m:t>dissolved</m:t>
                </m:r>
              </m:sub>
            </m:sSub>
          </m:num>
          <m:den>
            <m:sSub>
              <m:sSubPr>
                <m:ctrlPr>
                  <w:rPr>
                    <w:rFonts w:ascii="Cambria Math" w:eastAsia="Cambria Math" w:hAnsi="Cambria Math" w:cs="Times New Roman"/>
                  </w:rPr>
                </m:ctrlPr>
              </m:sSubPr>
              <m:e>
                <m:r>
                  <w:rPr>
                    <w:rFonts w:ascii="Cambria Math" w:eastAsia="Cambria Math" w:hAnsi="Cambria Math" w:cs="Times New Roman"/>
                  </w:rPr>
                  <m:t>∆P</m:t>
                </m:r>
              </m:e>
              <m:sub>
                <m:r>
                  <w:rPr>
                    <w:rFonts w:ascii="Cambria Math" w:eastAsia="Cambria Math" w:hAnsi="Cambria Math" w:cs="Times New Roman"/>
                  </w:rPr>
                  <m:t>sorbed</m:t>
                </m:r>
              </m:sub>
            </m:sSub>
            <m:r>
              <w:rPr>
                <w:rFonts w:ascii="Cambria Math" w:eastAsia="Cambria Math" w:hAnsi="Cambria Math" w:cs="Times New Roman"/>
              </w:rPr>
              <m:t>-</m:t>
            </m:r>
            <m:sSub>
              <m:sSubPr>
                <m:ctrlPr>
                  <w:rPr>
                    <w:rFonts w:ascii="Cambria Math" w:eastAsia="Cambria Math" w:hAnsi="Cambria Math" w:cs="Times New Roman"/>
                  </w:rPr>
                </m:ctrlPr>
              </m:sSubPr>
              <m:e>
                <m:r>
                  <w:rPr>
                    <w:rFonts w:ascii="Cambria Math" w:eastAsia="Cambria Math" w:hAnsi="Cambria Math" w:cs="Times New Roman"/>
                  </w:rPr>
                  <m:t>F</m:t>
                </m:r>
              </m:e>
              <m:sub>
                <m:r>
                  <w:rPr>
                    <w:rFonts w:ascii="Cambria Math" w:eastAsia="Cambria Math" w:hAnsi="Cambria Math" w:cs="Times New Roman"/>
                  </w:rPr>
                  <m:t>dss</m:t>
                </m:r>
              </m:sub>
            </m:sSub>
          </m:den>
        </m:f>
      </m:oMath>
      <w:r w:rsidR="00124C95" w:rsidRPr="00C85168">
        <w:rPr>
          <w:rFonts w:ascii="Times New Roman" w:eastAsia="宋体" w:hAnsi="Times New Roman" w:cs="Times New Roman"/>
        </w:rPr>
        <w:t xml:space="preserve"> , </w:t>
      </w:r>
      <w:r w:rsidR="00124C95" w:rsidRPr="00C85168">
        <w:rPr>
          <w:rFonts w:ascii="Times New Roman" w:eastAsia="宋体" w:hAnsi="Times New Roman" w:cs="Times New Roman"/>
        </w:rPr>
        <w:tab/>
      </w:r>
      <w:r w:rsidR="00124C95" w:rsidRPr="00C85168">
        <w:rPr>
          <w:rFonts w:ascii="Times New Roman" w:eastAsia="宋体" w:hAnsi="Times New Roman" w:cs="Times New Roman"/>
        </w:rPr>
        <w:tab/>
      </w:r>
      <w:r w:rsidR="00124C95" w:rsidRPr="00C85168">
        <w:rPr>
          <w:rFonts w:ascii="Times New Roman" w:eastAsia="宋体" w:hAnsi="Times New Roman" w:cs="Times New Roman"/>
        </w:rPr>
        <w:tab/>
      </w:r>
      <w:r w:rsidR="00124C95" w:rsidRPr="00C85168">
        <w:rPr>
          <w:rFonts w:ascii="Times New Roman" w:eastAsia="宋体" w:hAnsi="Times New Roman" w:cs="Times New Roman"/>
        </w:rPr>
        <w:tab/>
      </w:r>
      <w:r w:rsidR="00124C95" w:rsidRPr="00C85168">
        <w:rPr>
          <w:rFonts w:ascii="Times New Roman" w:eastAsia="宋体" w:hAnsi="Times New Roman" w:cs="Times New Roman"/>
        </w:rPr>
        <w:tab/>
      </w:r>
      <w:r w:rsidR="00124C95" w:rsidRPr="00C85168">
        <w:rPr>
          <w:rFonts w:ascii="Times New Roman" w:eastAsia="宋体" w:hAnsi="Times New Roman" w:cs="Times New Roman"/>
        </w:rPr>
        <w:tab/>
      </w:r>
      <w:r w:rsidR="00124C95" w:rsidRPr="00C85168">
        <w:rPr>
          <w:rFonts w:ascii="Times New Roman" w:eastAsia="宋体" w:hAnsi="Times New Roman" w:cs="Times New Roman"/>
        </w:rPr>
        <w:tab/>
        <w:t xml:space="preserve"> </w:t>
      </w:r>
      <w:r w:rsidR="00124C95">
        <w:rPr>
          <w:rFonts w:ascii="Times New Roman" w:eastAsia="宋体" w:hAnsi="Times New Roman" w:cs="Times New Roman"/>
        </w:rPr>
        <w:t xml:space="preserve">       </w:t>
      </w:r>
      <w:r w:rsidR="00822476">
        <w:rPr>
          <w:rFonts w:ascii="Times New Roman" w:eastAsia="宋体" w:hAnsi="Times New Roman" w:cs="Times New Roman"/>
        </w:rPr>
        <w:t>(S3</w:t>
      </w:r>
      <w:r w:rsidR="00124C95" w:rsidRPr="00C85168">
        <w:rPr>
          <w:rFonts w:ascii="Times New Roman" w:eastAsia="宋体" w:hAnsi="Times New Roman" w:cs="Times New Roman"/>
        </w:rPr>
        <w:t>)</w:t>
      </w:r>
    </w:p>
    <w:p w14:paraId="5F44AE72" w14:textId="77777777" w:rsidR="00124C95" w:rsidRPr="00C85168" w:rsidRDefault="00124C95" w:rsidP="00124C95">
      <w:pPr>
        <w:spacing w:before="180"/>
        <w:jc w:val="both"/>
        <w:rPr>
          <w:rFonts w:ascii="Times New Roman" w:eastAsia="宋体" w:hAnsi="Times New Roman" w:cs="Times New Roman"/>
        </w:rPr>
      </w:pPr>
      <w:r w:rsidRPr="00C85168">
        <w:rPr>
          <w:rFonts w:ascii="Times New Roman" w:eastAsia="宋体" w:hAnsi="Times New Roman" w:cs="Times New Roman"/>
        </w:rPr>
        <w:t xml:space="preserve">Where </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dissolved</m:t>
            </m:r>
          </m:sub>
        </m:sSub>
      </m:oMath>
      <w:r w:rsidRPr="00C85168">
        <w:rPr>
          <w:rFonts w:ascii="Times New Roman" w:eastAsia="宋体" w:hAnsi="Times New Roman" w:cs="Times New Roman"/>
        </w:rPr>
        <w:t xml:space="preserve"> is the labile P in soil solution (g P m</w:t>
      </w:r>
      <w:r w:rsidRPr="00C85168">
        <w:rPr>
          <w:rFonts w:ascii="Times New Roman" w:eastAsia="宋体" w:hAnsi="Times New Roman" w:cs="Times New Roman"/>
          <w:vertAlign w:val="superscript"/>
        </w:rPr>
        <w:t>-2</w:t>
      </w:r>
      <w:r w:rsidRPr="00C85168">
        <w:rPr>
          <w:rFonts w:ascii="Times New Roman" w:eastAsia="宋体" w:hAnsi="Times New Roman" w:cs="Times New Roman"/>
        </w:rPr>
        <w:t xml:space="preserve">) and </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sorbed</m:t>
            </m:r>
          </m:sub>
        </m:sSub>
      </m:oMath>
      <w:r w:rsidRPr="00C85168">
        <w:rPr>
          <w:rFonts w:ascii="Times New Roman" w:eastAsia="宋体" w:hAnsi="Times New Roman" w:cs="Times New Roman"/>
        </w:rPr>
        <w:t xml:space="preserve"> the change in labile P adsorbed (g P m</w:t>
      </w:r>
      <w:r w:rsidRPr="00C85168">
        <w:rPr>
          <w:rFonts w:ascii="Times New Roman" w:eastAsia="宋体" w:hAnsi="Times New Roman" w:cs="Times New Roman"/>
          <w:vertAlign w:val="superscript"/>
        </w:rPr>
        <w:t>-2</w:t>
      </w:r>
      <w:r w:rsidRPr="00C85168">
        <w:rPr>
          <w:rFonts w:ascii="Times New Roman" w:eastAsia="宋体" w:hAnsi="Times New Roman" w:cs="Times New Roman"/>
        </w:rPr>
        <w:t xml:space="preserve"> t</w:t>
      </w:r>
      <w:r w:rsidRPr="00C85168">
        <w:rPr>
          <w:rFonts w:ascii="Times New Roman" w:eastAsia="宋体" w:hAnsi="Times New Roman" w:cs="Times New Roman"/>
          <w:vertAlign w:val="superscript"/>
        </w:rPr>
        <w:t>-1</w:t>
      </w:r>
      <w:r w:rsidRPr="00C85168">
        <w:rPr>
          <w:rFonts w:ascii="Times New Roman" w:eastAsia="宋体" w:hAnsi="Times New Roman" w:cs="Times New Roman"/>
        </w:rPr>
        <w:t xml:space="preserve">) with t=30 minutes (model time step) corrected for the loss term of </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sorbed</m:t>
            </m:r>
          </m:sub>
        </m:sSub>
      </m:oMath>
      <w:r w:rsidRPr="00C85168">
        <w:rPr>
          <w:rFonts w:ascii="Times New Roman" w:eastAsia="宋体" w:hAnsi="Times New Roman" w:cs="Times New Roman"/>
        </w:rPr>
        <w:t xml:space="preserve"> related to strongly sorption. In ORCHIDEE-CNP, the exchange between </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dissolved</m:t>
            </m:r>
          </m:sub>
        </m:sSub>
      </m:oMath>
      <w:r w:rsidRPr="00C85168">
        <w:rPr>
          <w:rFonts w:ascii="Times New Roman" w:eastAsia="宋体" w:hAnsi="Times New Roman" w:cs="Times New Roman"/>
        </w:rPr>
        <w:t xml:space="preserve"> and </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sorbed</m:t>
            </m:r>
          </m:sub>
        </m:sSub>
      </m:oMath>
      <w:r w:rsidRPr="00C85168">
        <w:rPr>
          <w:rFonts w:ascii="Times New Roman" w:eastAsia="宋体" w:hAnsi="Times New Roman" w:cs="Times New Roman"/>
        </w:rPr>
        <w:t xml:space="preserve"> (</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dss</m:t>
            </m:r>
          </m:sub>
        </m:sSub>
      </m:oMath>
      <w:r w:rsidRPr="00C85168">
        <w:rPr>
          <w:rFonts w:ascii="Times New Roman" w:eastAsia="宋体" w:hAnsi="Times New Roman" w:cs="Times New Roman"/>
        </w:rPr>
        <w:t xml:space="preserve">) is calculated using a Freundlich adsorption isotherm by assuming a chemical equilibrium between both pools is reached on the model time step (Goll et al., 2018). </w:t>
      </w:r>
    </w:p>
    <w:p w14:paraId="68E53A28" w14:textId="0F70ED77" w:rsidR="00124C95" w:rsidRPr="00C85168" w:rsidRDefault="00124C95" w:rsidP="00124C95">
      <w:pPr>
        <w:spacing w:before="180"/>
        <w:jc w:val="both"/>
        <w:rPr>
          <w:rFonts w:ascii="Times New Roman" w:eastAsia="宋体" w:hAnsi="Times New Roman" w:cs="Times New Roman"/>
        </w:rPr>
      </w:pPr>
      <w:r w:rsidRPr="00C85168">
        <w:rPr>
          <w:rFonts w:ascii="Times New Roman" w:eastAsia="宋体" w:hAnsi="Times New Roman" w:cs="Times New Roman"/>
        </w:rPr>
        <w:t xml:space="preserve">We used data from a global compilation of empirical </w:t>
      </w: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m</m:t>
            </m:r>
          </m:sub>
        </m:sSub>
      </m:oMath>
      <w:r w:rsidRPr="00C85168">
        <w:rPr>
          <w:rFonts w:ascii="Times New Roman" w:eastAsia="宋体" w:hAnsi="Times New Roman" w:cs="Times New Roman"/>
        </w:rPr>
        <w:t xml:space="preserve"> data from 218 different soil samples, mainly from Europe and North America but also covering Asian and Africa (Helfenstein et al., 2018).</w:t>
      </w:r>
      <w:r w:rsidRPr="00C85168">
        <w:rPr>
          <w:rFonts w:ascii="Times New Roman" w:eastAsia="宋体" w:hAnsi="Times New Roman" w:cs="Times New Roman"/>
          <w:color w:val="FF0000"/>
        </w:rPr>
        <w:t xml:space="preserve"> </w:t>
      </w:r>
      <w:r w:rsidRPr="00C85168">
        <w:rPr>
          <w:rFonts w:ascii="Times New Roman" w:eastAsia="宋体" w:hAnsi="Times New Roman" w:cs="Times New Roman"/>
        </w:rPr>
        <w:t xml:space="preserve">We found that simulated </w:t>
      </w: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m</m:t>
            </m:r>
          </m:sub>
        </m:sSub>
      </m:oMath>
      <w:r w:rsidRPr="00C85168">
        <w:rPr>
          <w:rFonts w:ascii="Times New Roman" w:eastAsia="宋体" w:hAnsi="Times New Roman" w:cs="Times New Roman"/>
        </w:rPr>
        <w:t>are of similar magnitude wi</w:t>
      </w:r>
      <w:r w:rsidR="0093792D">
        <w:rPr>
          <w:rFonts w:ascii="Times New Roman" w:eastAsia="宋体" w:hAnsi="Times New Roman" w:cs="Times New Roman"/>
        </w:rPr>
        <w:t>th median value of 24~</w:t>
      </w:r>
      <w:r w:rsidRPr="00C85168">
        <w:rPr>
          <w:rFonts w:ascii="Times New Roman" w:eastAsia="宋体" w:hAnsi="Times New Roman" w:cs="Times New Roman"/>
        </w:rPr>
        <w:t>468 min</w:t>
      </w:r>
      <w:r w:rsidRPr="00C85168">
        <w:rPr>
          <w:rFonts w:ascii="Times New Roman" w:eastAsia="宋体" w:hAnsi="Times New Roman" w:cs="Times New Roman"/>
          <w:vertAlign w:val="superscript"/>
        </w:rPr>
        <w:t>-1</w:t>
      </w:r>
      <w:r w:rsidRPr="00C85168">
        <w:rPr>
          <w:rFonts w:ascii="Times New Roman" w:eastAsia="宋体" w:hAnsi="Times New Roman" w:cs="Times New Roman"/>
        </w:rPr>
        <w:t xml:space="preserve"> across soil orders compared to those empirical data with simulated 5~990 min</w:t>
      </w:r>
      <w:r w:rsidRPr="00C85168">
        <w:rPr>
          <w:rFonts w:ascii="Times New Roman" w:eastAsia="宋体" w:hAnsi="Times New Roman" w:cs="Times New Roman"/>
          <w:vertAlign w:val="superscript"/>
        </w:rPr>
        <w:t>-1</w:t>
      </w:r>
      <w:r w:rsidR="009C6C82">
        <w:rPr>
          <w:rFonts w:ascii="Times New Roman" w:eastAsia="宋体" w:hAnsi="Times New Roman" w:cs="Times New Roman"/>
        </w:rPr>
        <w:t xml:space="preserve"> (Fig.</w:t>
      </w:r>
      <w:r w:rsidRPr="00C85168">
        <w:rPr>
          <w:rFonts w:ascii="Times New Roman" w:eastAsia="宋体" w:hAnsi="Times New Roman" w:cs="Times New Roman"/>
        </w:rPr>
        <w:t xml:space="preserve"> </w:t>
      </w:r>
      <w:r w:rsidR="007C22F1">
        <w:rPr>
          <w:rFonts w:ascii="Times New Roman" w:eastAsia="宋体" w:hAnsi="Times New Roman" w:cs="Times New Roman"/>
        </w:rPr>
        <w:t>S</w:t>
      </w:r>
      <w:r w:rsidR="00757ABE">
        <w:rPr>
          <w:rFonts w:ascii="Times New Roman" w:eastAsia="宋体" w:hAnsi="Times New Roman" w:cs="Times New Roman"/>
        </w:rPr>
        <w:t>19</w:t>
      </w:r>
      <w:r w:rsidRPr="00C85168">
        <w:rPr>
          <w:rFonts w:ascii="Times New Roman" w:eastAsia="宋体" w:hAnsi="Times New Roman" w:cs="Times New Roman"/>
        </w:rPr>
        <w:t xml:space="preserve">). However, the turnover rates for different soil types did not match empirical data. The model overestimated </w:t>
      </w: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m</m:t>
            </m:r>
          </m:sub>
        </m:sSub>
        <m:r>
          <w:rPr>
            <w:rFonts w:ascii="Cambria Math" w:eastAsia="Cambria Math" w:hAnsi="Cambria Math" w:cs="Cambria Math"/>
            <w:color w:val="FF0000"/>
          </w:rPr>
          <m:t xml:space="preserve"> </m:t>
        </m:r>
      </m:oMath>
      <w:r w:rsidRPr="00C85168">
        <w:rPr>
          <w:rFonts w:ascii="Times New Roman" w:eastAsia="宋体" w:hAnsi="Times New Roman" w:cs="Times New Roman"/>
        </w:rPr>
        <w:t xml:space="preserve">for Alfisols, Aridisols, Entisols, Mollisols, Spodosols, Ultisols, and underestimated </w:t>
      </w: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m</m:t>
            </m:r>
          </m:sub>
        </m:sSub>
        <m:r>
          <w:rPr>
            <w:rFonts w:ascii="Cambria Math" w:eastAsia="Cambria Math" w:hAnsi="Cambria Math" w:cs="Cambria Math"/>
            <w:color w:val="FF0000"/>
          </w:rPr>
          <m:t xml:space="preserve"> </m:t>
        </m:r>
      </m:oMath>
      <w:r w:rsidRPr="00C85168">
        <w:rPr>
          <w:rFonts w:ascii="Times New Roman" w:eastAsia="宋体" w:hAnsi="Times New Roman" w:cs="Times New Roman"/>
        </w:rPr>
        <w:t>for Oxisols and Vertisols.</w:t>
      </w:r>
    </w:p>
    <w:p w14:paraId="3F280B71" w14:textId="0786E416" w:rsidR="00124C95" w:rsidRDefault="00124C95" w:rsidP="008044CC">
      <w:pPr>
        <w:spacing w:before="180"/>
        <w:jc w:val="both"/>
        <w:rPr>
          <w:rFonts w:ascii="Times New Roman" w:eastAsia="宋体" w:hAnsi="Times New Roman" w:cs="Times New Roman"/>
        </w:rPr>
      </w:pPr>
      <w:r w:rsidRPr="00E16C91">
        <w:rPr>
          <w:rFonts w:ascii="Times New Roman" w:eastAsia="宋体" w:hAnsi="Times New Roman" w:cs="Times New Roman"/>
        </w:rPr>
        <w:t xml:space="preserve">ORCHIDEE-CNP cannot capture variations in </w:t>
      </w: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m</m:t>
            </m:r>
          </m:sub>
        </m:sSub>
      </m:oMath>
      <w:r w:rsidRPr="00E16C91">
        <w:rPr>
          <w:rFonts w:ascii="Times New Roman" w:eastAsia="宋体" w:hAnsi="Times New Roman" w:cs="Times New Roman"/>
        </w:rPr>
        <w:t xml:space="preserve"> among different soil orders as derived from measurements (Helfenstein et al., 2018)</w:t>
      </w:r>
      <w:r w:rsidR="00EC3962">
        <w:rPr>
          <w:rFonts w:ascii="Times New Roman" w:eastAsia="宋体" w:hAnsi="Times New Roman" w:cs="Times New Roman"/>
        </w:rPr>
        <w:t>, that is because</w:t>
      </w:r>
      <w:r w:rsidRPr="00E16C91">
        <w:rPr>
          <w:rFonts w:ascii="Times New Roman" w:eastAsia="宋体" w:hAnsi="Times New Roman" w:cs="Times New Roman"/>
        </w:rPr>
        <w:t xml:space="preserve"> that ORCHIDEE-CNP distinguishes only between three classes of soils with respect to parameter controlling inorganic P sorption dynamics: Oxisols, Mo</w:t>
      </w:r>
      <w:r w:rsidR="0091779E">
        <w:rPr>
          <w:rFonts w:ascii="Times New Roman" w:eastAsia="宋体" w:hAnsi="Times New Roman" w:cs="Times New Roman"/>
        </w:rPr>
        <w:t>lisols and other soils (Table S5</w:t>
      </w:r>
      <w:r w:rsidRPr="00E16C91">
        <w:rPr>
          <w:rFonts w:ascii="Times New Roman" w:eastAsia="宋体" w:hAnsi="Times New Roman" w:cs="Times New Roman"/>
        </w:rPr>
        <w:t xml:space="preserve">; Goll et al., 2017a). The difference in biases of </w:t>
      </w: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m</m:t>
            </m:r>
          </m:sub>
        </m:sSub>
      </m:oMath>
      <w:r w:rsidRPr="00E16C91">
        <w:rPr>
          <w:rFonts w:ascii="Times New Roman" w:eastAsia="宋体" w:hAnsi="Times New Roman" w:cs="Times New Roman"/>
        </w:rPr>
        <w:t xml:space="preserve"> between Oxisols and other soil suborders suggests that our parameterization of sorption is the primary cause for the model bias, as all other processes affecting dissolved P are not a function of soil type</w:t>
      </w:r>
      <w:r w:rsidR="00957928">
        <w:rPr>
          <w:rFonts w:ascii="Times New Roman" w:eastAsia="宋体" w:hAnsi="Times New Roman" w:cs="Times New Roman"/>
        </w:rPr>
        <w:t xml:space="preserve">. </w:t>
      </w:r>
      <w:r w:rsidR="00957928" w:rsidRPr="00957928">
        <w:rPr>
          <w:rFonts w:ascii="Times New Roman" w:eastAsia="宋体" w:hAnsi="Times New Roman" w:cs="Times New Roman"/>
        </w:rPr>
        <w:t>In the P-enabled LSMs, inorganic P processes operating on longer timescale (occlusion, strong sorption) are only simply represented (Wang et al., 2010; Yang et al., 2014; Goll et al., 2017b). This processes in LSMs is primarily based on calibration rather than data driven, which remain a large source of uncertainty regarding changes in P availability under elevated CO</w:t>
      </w:r>
      <w:r w:rsidR="00957928" w:rsidRPr="00957928">
        <w:rPr>
          <w:rFonts w:ascii="Times New Roman" w:eastAsia="宋体" w:hAnsi="Times New Roman" w:cs="Times New Roman"/>
          <w:vertAlign w:val="subscript"/>
        </w:rPr>
        <w:t>2</w:t>
      </w:r>
      <w:r w:rsidR="00957928" w:rsidRPr="00957928">
        <w:rPr>
          <w:rFonts w:ascii="Times New Roman" w:eastAsia="宋体" w:hAnsi="Times New Roman" w:cs="Times New Roman"/>
        </w:rPr>
        <w:t xml:space="preserve"> (Goll et al., 2012).</w:t>
      </w:r>
      <w:r w:rsidR="00957928">
        <w:rPr>
          <w:rFonts w:ascii="Times New Roman" w:eastAsia="宋体" w:hAnsi="Times New Roman" w:cs="Times New Roman"/>
        </w:rPr>
        <w:t xml:space="preserve"> </w:t>
      </w:r>
      <w:r w:rsidRPr="00E16C91">
        <w:rPr>
          <w:rFonts w:ascii="Times New Roman" w:eastAsia="宋体" w:hAnsi="Times New Roman" w:cs="Times New Roman"/>
        </w:rPr>
        <w:t>Recent advances in the quantification of inorganic soil P turnover (Helfenstein et al., 2020) should be used to improve this part of models.</w:t>
      </w:r>
    </w:p>
    <w:p w14:paraId="01334EC9" w14:textId="77777777" w:rsidR="008044CC" w:rsidRPr="008044CC" w:rsidRDefault="008044CC" w:rsidP="008044CC">
      <w:pPr>
        <w:spacing w:before="180"/>
        <w:jc w:val="both"/>
        <w:rPr>
          <w:rFonts w:ascii="Times New Roman" w:eastAsia="宋体" w:hAnsi="Times New Roman" w:cs="Times New Roman"/>
        </w:rPr>
      </w:pPr>
    </w:p>
    <w:p w14:paraId="57C76B5A" w14:textId="2478BF8C" w:rsidR="009358F8" w:rsidRPr="00603CE6" w:rsidRDefault="009358F8" w:rsidP="009358F8">
      <w:pPr>
        <w:pStyle w:val="Heading3"/>
        <w:rPr>
          <w:rFonts w:ascii="Times New Roman" w:eastAsia="Times New Roman" w:hAnsi="Times New Roman" w:cs="Arial"/>
          <w:b/>
          <w:bCs/>
          <w:color w:val="auto"/>
          <w:sz w:val="20"/>
          <w:szCs w:val="26"/>
          <w:lang w:val="en-GB" w:eastAsia="de-DE"/>
        </w:rPr>
      </w:pPr>
      <w:r w:rsidRPr="00655228">
        <w:rPr>
          <w:rFonts w:ascii="Times New Roman" w:eastAsia="Times New Roman" w:hAnsi="Times New Roman" w:cs="Arial"/>
          <w:b/>
          <w:bCs/>
          <w:sz w:val="20"/>
          <w:szCs w:val="26"/>
          <w:lang w:val="en-GB" w:eastAsia="de-DE"/>
        </w:rPr>
        <w:t>S</w:t>
      </w:r>
      <w:r w:rsidR="00F671AE">
        <w:rPr>
          <w:rFonts w:ascii="Times New Roman" w:eastAsia="Times New Roman" w:hAnsi="Times New Roman" w:cs="Arial"/>
          <w:b/>
          <w:bCs/>
          <w:sz w:val="20"/>
          <w:szCs w:val="26"/>
          <w:lang w:val="en-GB" w:eastAsia="de-DE"/>
        </w:rPr>
        <w:t>7</w:t>
      </w:r>
      <w:r w:rsidRPr="00655228">
        <w:rPr>
          <w:rFonts w:ascii="Times New Roman" w:eastAsia="Times New Roman" w:hAnsi="Times New Roman" w:cs="Arial"/>
          <w:b/>
          <w:bCs/>
          <w:sz w:val="20"/>
          <w:szCs w:val="26"/>
          <w:lang w:val="en-GB" w:eastAsia="de-DE"/>
        </w:rPr>
        <w:t>.</w:t>
      </w:r>
      <w:r w:rsidRPr="00655228">
        <w:rPr>
          <w:rFonts w:ascii="Times New Roman" w:eastAsia="Times New Roman" w:hAnsi="Times New Roman" w:cs="Arial"/>
          <w:b/>
          <w:bCs/>
          <w:color w:val="auto"/>
          <w:sz w:val="20"/>
          <w:szCs w:val="26"/>
          <w:lang w:val="en-GB" w:eastAsia="de-DE"/>
        </w:rPr>
        <w:t xml:space="preserve"> P biochemical mineralization from phosphatase enzymes</w:t>
      </w:r>
      <w:r w:rsidR="006C45DC">
        <w:rPr>
          <w:rFonts w:ascii="Times New Roman" w:eastAsia="Times New Roman" w:hAnsi="Times New Roman" w:cs="Arial"/>
          <w:b/>
          <w:bCs/>
          <w:color w:val="auto"/>
          <w:sz w:val="20"/>
          <w:szCs w:val="26"/>
          <w:lang w:val="en-GB" w:eastAsia="de-DE"/>
        </w:rPr>
        <w:t xml:space="preserve"> </w:t>
      </w:r>
    </w:p>
    <w:p w14:paraId="186E34CA" w14:textId="4D71A12D" w:rsidR="009358F8" w:rsidRDefault="009358F8" w:rsidP="009358F8">
      <w:pPr>
        <w:spacing w:before="180"/>
        <w:jc w:val="both"/>
        <w:rPr>
          <w:rFonts w:ascii="Times New Roman" w:eastAsia="宋体" w:hAnsi="Times New Roman" w:cs="Times New Roman"/>
        </w:rPr>
      </w:pPr>
      <w:r w:rsidRPr="00603CE6">
        <w:rPr>
          <w:rFonts w:ascii="Times New Roman" w:eastAsia="宋体" w:hAnsi="Times New Roman" w:cs="Times New Roman"/>
        </w:rPr>
        <w:t>Biochemical phosphorus mineralization (BPM) mediated by extracellular phosphatase enzymes produced plants and microbes through cleaving P out of organic matter, is a potentially significant pathway for mineralizing P (Wang et al., 2007). ORCHIDEE-CNP includes an empirical parameterization of BPM</w:t>
      </w:r>
      <w:r w:rsidRPr="00603CE6" w:rsidDel="00527E6B">
        <w:rPr>
          <w:rFonts w:ascii="Times New Roman" w:eastAsia="宋体" w:hAnsi="Times New Roman" w:cs="Times New Roman"/>
        </w:rPr>
        <w:t xml:space="preserve"> </w:t>
      </w:r>
      <w:r w:rsidRPr="00603CE6">
        <w:rPr>
          <w:rFonts w:ascii="Times New Roman" w:eastAsia="宋体" w:hAnsi="Times New Roman" w:cs="Times New Roman"/>
        </w:rPr>
        <w:t>which accounted for an enhanced mineralization when plants experience suboptimal P-to-N availabilities, as an approximation of the stoichiometric status of the whole ecosystem, including the effect of substrate availability on mineralization (McGill and Cole, 1981) (see Eq. 18 in Goll et al., 2017b). Potential phosphatase activity (P</w:t>
      </w:r>
      <w:r w:rsidRPr="00603CE6">
        <w:rPr>
          <w:rFonts w:ascii="Times New Roman" w:eastAsia="宋体" w:hAnsi="Times New Roman" w:cs="Times New Roman"/>
          <w:vertAlign w:val="subscript"/>
        </w:rPr>
        <w:t>ases</w:t>
      </w:r>
      <w:r w:rsidRPr="00603CE6">
        <w:rPr>
          <w:rFonts w:ascii="Times New Roman" w:eastAsia="宋体" w:hAnsi="Times New Roman" w:cs="Times New Roman"/>
        </w:rPr>
        <w:t>) can be measured in the lab from soil samples, and serves as a surrogate for the lack of direct BPM measurements in real-world soil conditions (Sun et al., 2020). We compare the global pattern of simulated P mineralization fluxes in ORCHIDEE-CNP with the map of P</w:t>
      </w:r>
      <w:r w:rsidRPr="00603CE6">
        <w:rPr>
          <w:rFonts w:ascii="Times New Roman" w:eastAsia="宋体" w:hAnsi="Times New Roman" w:cs="Times New Roman"/>
          <w:vertAlign w:val="subscript"/>
        </w:rPr>
        <w:t>ases</w:t>
      </w:r>
      <w:r w:rsidRPr="00603CE6" w:rsidDel="00527E6B">
        <w:rPr>
          <w:rFonts w:ascii="Times New Roman" w:eastAsia="宋体" w:hAnsi="Times New Roman" w:cs="Times New Roman"/>
        </w:rPr>
        <w:t xml:space="preserve"> </w:t>
      </w:r>
      <w:r w:rsidRPr="00603CE6">
        <w:rPr>
          <w:rFonts w:ascii="Times New Roman" w:eastAsia="宋体" w:hAnsi="Times New Roman" w:cs="Times New Roman"/>
        </w:rPr>
        <w:t>extrapolated from site measurements (Margalef et al., 2017) produced by Sun et al. (2020). The modelled BPM is higher in tropical regions than in desert and boreal regions, consistent with the P</w:t>
      </w:r>
      <w:r w:rsidRPr="00603CE6">
        <w:rPr>
          <w:rFonts w:ascii="Times New Roman" w:eastAsia="宋体" w:hAnsi="Times New Roman" w:cs="Times New Roman"/>
          <w:vertAlign w:val="subscript"/>
        </w:rPr>
        <w:t>ases</w:t>
      </w:r>
      <w:r w:rsidRPr="00603CE6">
        <w:rPr>
          <w:rFonts w:ascii="Times New Roman" w:eastAsia="宋体" w:hAnsi="Times New Roman" w:cs="Times New Roman"/>
        </w:rPr>
        <w:t xml:space="preserve"> pattern (Fig. </w:t>
      </w:r>
      <w:r w:rsidR="0093792D">
        <w:rPr>
          <w:rFonts w:ascii="Times New Roman" w:eastAsia="宋体" w:hAnsi="Times New Roman" w:cs="Times New Roman"/>
        </w:rPr>
        <w:t>S</w:t>
      </w:r>
      <w:r w:rsidR="00757ABE">
        <w:rPr>
          <w:rFonts w:ascii="Times New Roman" w:eastAsia="宋体" w:hAnsi="Times New Roman" w:cs="Times New Roman"/>
        </w:rPr>
        <w:t>20</w:t>
      </w:r>
      <w:r w:rsidRPr="00603CE6">
        <w:rPr>
          <w:rFonts w:ascii="Times New Roman" w:eastAsia="宋体" w:hAnsi="Times New Roman" w:cs="Times New Roman"/>
        </w:rPr>
        <w:t xml:space="preserve">), although the scarcity of tropical measurements makes the high values observed in these regions more uncertain (Sun et al., 2020). </w:t>
      </w:r>
    </w:p>
    <w:p w14:paraId="56EBDBBC" w14:textId="2E183E9B" w:rsidR="009358F8" w:rsidRPr="008B74BF" w:rsidRDefault="009358F8" w:rsidP="009358F8">
      <w:pPr>
        <w:spacing w:before="180"/>
        <w:jc w:val="both"/>
        <w:rPr>
          <w:rFonts w:ascii="Times New Roman" w:eastAsia="宋体" w:hAnsi="Times New Roman" w:cs="Times New Roman"/>
        </w:rPr>
      </w:pPr>
      <w:r w:rsidRPr="008B74BF">
        <w:rPr>
          <w:rFonts w:ascii="Times New Roman" w:eastAsia="宋体" w:hAnsi="Times New Roman" w:cs="Times New Roman"/>
        </w:rPr>
        <w:t>Global organic P mineralization fluxes were evaluated against potential phosphatase activity (P</w:t>
      </w:r>
      <w:r w:rsidRPr="008B74BF">
        <w:rPr>
          <w:rFonts w:ascii="Times New Roman" w:eastAsia="宋体" w:hAnsi="Times New Roman" w:cs="Times New Roman"/>
          <w:vertAlign w:val="subscript"/>
        </w:rPr>
        <w:t>ases</w:t>
      </w:r>
      <w:r w:rsidRPr="008B74BF">
        <w:rPr>
          <w:rFonts w:ascii="Times New Roman" w:eastAsia="宋体" w:hAnsi="Times New Roman" w:cs="Times New Roman"/>
        </w:rPr>
        <w:t xml:space="preserve">) data (Margalef et al., 2017; Sun et al., 2020), and actual bulk P mineralization measurements based on radioisotopic approaches (Bünemann, 2015; Wanek et al., 2019), to our knowledge the first attempt to evaluate a model for this process. </w:t>
      </w:r>
      <w:r w:rsidR="00B53D13">
        <w:rPr>
          <w:rFonts w:ascii="Times New Roman" w:eastAsia="宋体" w:hAnsi="Times New Roman" w:cs="Times New Roman"/>
        </w:rPr>
        <w:t>ORCHIDEE-CNP can capture</w:t>
      </w:r>
      <w:r w:rsidRPr="008B74BF">
        <w:rPr>
          <w:rFonts w:ascii="Times New Roman" w:eastAsia="宋体" w:hAnsi="Times New Roman" w:cs="Times New Roman"/>
        </w:rPr>
        <w:t xml:space="preserve"> the general global pattern of P</w:t>
      </w:r>
      <w:r w:rsidRPr="008B74BF">
        <w:rPr>
          <w:rFonts w:ascii="Times New Roman" w:eastAsia="宋体" w:hAnsi="Times New Roman" w:cs="Times New Roman"/>
          <w:vertAlign w:val="subscript"/>
        </w:rPr>
        <w:t>ases</w:t>
      </w:r>
      <w:r w:rsidRPr="008B74BF">
        <w:rPr>
          <w:rFonts w:ascii="Times New Roman" w:eastAsia="宋体" w:hAnsi="Times New Roman" w:cs="Times New Roman"/>
        </w:rPr>
        <w:t xml:space="preserve"> (Fig. </w:t>
      </w:r>
      <w:r w:rsidR="0093792D">
        <w:rPr>
          <w:rFonts w:ascii="Times New Roman" w:eastAsia="宋体" w:hAnsi="Times New Roman" w:cs="Times New Roman"/>
        </w:rPr>
        <w:t>S</w:t>
      </w:r>
      <w:r w:rsidR="00757ABE">
        <w:rPr>
          <w:rFonts w:ascii="Times New Roman" w:eastAsia="宋体" w:hAnsi="Times New Roman" w:cs="Times New Roman"/>
        </w:rPr>
        <w:t>20</w:t>
      </w:r>
      <w:r w:rsidRPr="008B74BF">
        <w:rPr>
          <w:rFonts w:ascii="Times New Roman" w:eastAsia="宋体" w:hAnsi="Times New Roman" w:cs="Times New Roman"/>
        </w:rPr>
        <w:t xml:space="preserve">b), which gives us some confidence that large-scale differences with respect to the decoupling of P mineralization from the mineralization of C and N can be roughly captured by the model. </w:t>
      </w:r>
    </w:p>
    <w:p w14:paraId="36615AB9" w14:textId="2A030057" w:rsidR="002F497B" w:rsidRDefault="009358F8" w:rsidP="00415E57">
      <w:pPr>
        <w:spacing w:before="180"/>
        <w:jc w:val="both"/>
        <w:rPr>
          <w:rFonts w:ascii="Times New Roman" w:eastAsia="宋体" w:hAnsi="Times New Roman" w:cs="Times New Roman"/>
        </w:rPr>
      </w:pPr>
      <w:r w:rsidRPr="008B74BF">
        <w:rPr>
          <w:rFonts w:ascii="Times New Roman" w:eastAsia="宋体" w:hAnsi="Times New Roman" w:cs="Times New Roman"/>
        </w:rPr>
        <w:t>Direct measurements of bulk organic P mineralization using radio-isotopic approaches are only available for few soils. If up-scaled to yearly rates, measured organic P mineralization rates range between 10</w:t>
      </w:r>
      <w:r w:rsidRPr="008B74BF">
        <w:rPr>
          <w:rFonts w:ascii="Times New Roman" w:eastAsia="宋体" w:hAnsi="Times New Roman" w:cs="Times New Roman"/>
          <w:vertAlign w:val="superscript"/>
        </w:rPr>
        <w:t>1</w:t>
      </w:r>
      <w:r w:rsidRPr="008B74BF">
        <w:rPr>
          <w:rFonts w:ascii="Times New Roman" w:eastAsia="宋体" w:hAnsi="Times New Roman" w:cs="Times New Roman"/>
        </w:rPr>
        <w:t xml:space="preserve"> to 10</w:t>
      </w:r>
      <w:r w:rsidRPr="008B74BF">
        <w:rPr>
          <w:rFonts w:ascii="Times New Roman" w:eastAsia="宋体" w:hAnsi="Times New Roman" w:cs="Times New Roman"/>
          <w:vertAlign w:val="superscript"/>
        </w:rPr>
        <w:t>3</w:t>
      </w:r>
      <w:r w:rsidRPr="008B74BF">
        <w:rPr>
          <w:rFonts w:ascii="Times New Roman" w:eastAsia="宋体" w:hAnsi="Times New Roman" w:cs="Times New Roman"/>
        </w:rPr>
        <w:t xml:space="preserve"> g P m</w:t>
      </w:r>
      <w:r w:rsidRPr="008B74BF">
        <w:rPr>
          <w:rFonts w:ascii="Times New Roman" w:eastAsia="宋体" w:hAnsi="Times New Roman" w:cs="Times New Roman"/>
          <w:vertAlign w:val="superscript"/>
        </w:rPr>
        <w:t>-2</w:t>
      </w:r>
      <w:r w:rsidRPr="008B74BF">
        <w:rPr>
          <w:rFonts w:ascii="Times New Roman" w:eastAsia="宋体" w:hAnsi="Times New Roman" w:cs="Times New Roman"/>
        </w:rPr>
        <w:t xml:space="preserve"> yr</w:t>
      </w:r>
      <w:r w:rsidRPr="008B74BF">
        <w:rPr>
          <w:rFonts w:ascii="Times New Roman" w:eastAsia="宋体" w:hAnsi="Times New Roman" w:cs="Times New Roman"/>
          <w:vertAlign w:val="superscript"/>
        </w:rPr>
        <w:t>-1</w:t>
      </w:r>
      <w:r w:rsidRPr="008B74BF">
        <w:rPr>
          <w:rFonts w:ascii="Times New Roman" w:eastAsia="宋体" w:hAnsi="Times New Roman" w:cs="Times New Roman"/>
        </w:rPr>
        <w:t xml:space="preserve"> (Bünemann, 2015; Wanek et al., 2019) which are orders of magnitude higher than simulated by ORCHIDEE-CNP (0.53 </w:t>
      </w:r>
      <w:r w:rsidRPr="008B74BF">
        <w:rPr>
          <w:rFonts w:ascii="Noto Sans Symbols" w:eastAsia="Noto Sans Symbols" w:hAnsi="Noto Sans Symbols" w:cs="Noto Sans Symbols"/>
        </w:rPr>
        <w:t>±</w:t>
      </w:r>
      <w:r w:rsidRPr="008B74BF">
        <w:rPr>
          <w:rFonts w:ascii="Times New Roman" w:eastAsia="宋体" w:hAnsi="Times New Roman" w:cs="Times New Roman"/>
        </w:rPr>
        <w:t xml:space="preserve"> 0.48 g P m</w:t>
      </w:r>
      <w:r w:rsidRPr="008B74BF">
        <w:rPr>
          <w:rFonts w:ascii="Times New Roman" w:eastAsia="宋体" w:hAnsi="Times New Roman" w:cs="Times New Roman"/>
          <w:vertAlign w:val="superscript"/>
        </w:rPr>
        <w:t>-2</w:t>
      </w:r>
      <w:r w:rsidRPr="008B74BF">
        <w:rPr>
          <w:rFonts w:ascii="Times New Roman" w:eastAsia="宋体" w:hAnsi="Times New Roman" w:cs="Times New Roman"/>
        </w:rPr>
        <w:t xml:space="preserve"> yr</w:t>
      </w:r>
      <w:r w:rsidRPr="008B74BF">
        <w:rPr>
          <w:rFonts w:ascii="Times New Roman" w:eastAsia="宋体" w:hAnsi="Times New Roman" w:cs="Times New Roman"/>
          <w:vertAlign w:val="superscript"/>
        </w:rPr>
        <w:t>-1</w:t>
      </w:r>
      <w:r w:rsidRPr="008B74BF">
        <w:rPr>
          <w:rFonts w:ascii="Times New Roman" w:eastAsia="宋体" w:hAnsi="Times New Roman" w:cs="Times New Roman"/>
        </w:rPr>
        <w:t xml:space="preserve">; Fig. </w:t>
      </w:r>
      <w:r w:rsidR="001F3856">
        <w:rPr>
          <w:rFonts w:ascii="Times New Roman" w:eastAsia="宋体" w:hAnsi="Times New Roman" w:cs="Times New Roman"/>
        </w:rPr>
        <w:t>S</w:t>
      </w:r>
      <w:r w:rsidR="00757ABE">
        <w:rPr>
          <w:rFonts w:ascii="Times New Roman" w:eastAsia="宋体" w:hAnsi="Times New Roman" w:cs="Times New Roman"/>
        </w:rPr>
        <w:t>20</w:t>
      </w:r>
      <w:r w:rsidRPr="008B74BF">
        <w:rPr>
          <w:rFonts w:ascii="Times New Roman" w:eastAsia="宋体" w:hAnsi="Times New Roman" w:cs="Times New Roman"/>
        </w:rPr>
        <w:t>a). It has to be noted that lab measurements of P mineralization rates and potential phosphatase activity are conducted under optimal conditions, whereas in the field, temperature and water hamper enzyme activity for large parts of the year. This illustrates that the evaluation of model performance in representing soil organic P mineralization remains a challenge since quantification of apparent rates under field conditions are currently missing.</w:t>
      </w:r>
    </w:p>
    <w:p w14:paraId="67698313" w14:textId="082E38E6" w:rsidR="00DC5281" w:rsidRPr="00DC5281" w:rsidRDefault="00DC5281" w:rsidP="00415E57">
      <w:pPr>
        <w:spacing w:before="180"/>
        <w:jc w:val="both"/>
        <w:rPr>
          <w:rFonts w:ascii="Times New Roman" w:eastAsia="宋体" w:hAnsi="Times New Roman" w:cs="Times New Roman"/>
          <w:b/>
        </w:rPr>
      </w:pPr>
      <w:r w:rsidRPr="00DC5281">
        <w:rPr>
          <w:rFonts w:ascii="Times New Roman" w:eastAsia="宋体" w:hAnsi="Times New Roman" w:cs="Times New Roman"/>
          <w:b/>
        </w:rPr>
        <w:t>References</w:t>
      </w:r>
    </w:p>
    <w:p w14:paraId="2C8A5A25" w14:textId="1E5CC11F" w:rsidR="00DC5281" w:rsidRDefault="00DC5281" w:rsidP="00415E57">
      <w:pPr>
        <w:spacing w:before="180"/>
        <w:jc w:val="both"/>
        <w:rPr>
          <w:rFonts w:ascii="Times New Roman" w:eastAsia="宋体" w:hAnsi="Times New Roman" w:cs="Times New Roman"/>
        </w:rPr>
      </w:pPr>
      <w:r w:rsidRPr="00DC5281">
        <w:rPr>
          <w:rFonts w:ascii="Times New Roman" w:eastAsia="宋体" w:hAnsi="Times New Roman" w:cs="Times New Roman"/>
        </w:rPr>
        <w:t>Baccini, A., Goetz, S., Walker, W., Laporte, N., Sun, M., Sulla-Menashe, D., Hackler, J., Beck, P., Dubayah, R., Friedl, M., Samanta, S., and Houghton, R.: Estimated carbon dioxide emissions from tropical deforestation improved by carbon-density maps, Nat. Clim. Chang., 2, 182-185, http://doi.org/10.1038/nclimate1354, 2012.</w:t>
      </w:r>
    </w:p>
    <w:p w14:paraId="0BAC81FC" w14:textId="543BA91A" w:rsidR="00935133" w:rsidRDefault="00935133" w:rsidP="00415E57">
      <w:pPr>
        <w:spacing w:before="180"/>
        <w:jc w:val="both"/>
        <w:rPr>
          <w:rFonts w:ascii="Times New Roman" w:eastAsia="宋体" w:hAnsi="Times New Roman" w:cs="Times New Roman"/>
        </w:rPr>
      </w:pPr>
      <w:r w:rsidRPr="00935133">
        <w:rPr>
          <w:rFonts w:ascii="Times New Roman" w:eastAsia="宋体" w:hAnsi="Times New Roman" w:cs="Times New Roman"/>
        </w:rPr>
        <w:t>Bodirsky, B., Popp, A., Weindl, I., Dietrich, J., Rolinski, S., Scheiffele, L., Schmitz, C., and Lotze-Campen, H.: N2O emissions from the global agricultural nitrogen cycle - current state and future scenarios, Biogeosciences, 9, 4169-4197, http://doi.org/10.5194/bg-9-4169-2012, 2012.</w:t>
      </w:r>
    </w:p>
    <w:p w14:paraId="32250B50" w14:textId="77777777" w:rsidR="00935133" w:rsidRPr="00935133" w:rsidRDefault="00935133" w:rsidP="00935133">
      <w:pPr>
        <w:spacing w:before="180"/>
        <w:jc w:val="both"/>
        <w:rPr>
          <w:rFonts w:ascii="Times New Roman" w:eastAsia="宋体" w:hAnsi="Times New Roman" w:cs="Times New Roman"/>
        </w:rPr>
      </w:pPr>
      <w:r w:rsidRPr="00935133">
        <w:rPr>
          <w:rFonts w:ascii="Times New Roman" w:eastAsia="宋体" w:hAnsi="Times New Roman" w:cs="Times New Roman"/>
        </w:rPr>
        <w:t>Bouwman, A., Beusen, A., Griffioen, J., Van Groenigen, J., Hefting, M., Oenema, O., Van Puijenbroek, P., Seitzinger, S., Slomp, C., and Stehfest, E.: Global trends and uncertainties in terrestrial denitrification and N2O emissions, Philos. Trans. R. Soc. B-Biol. Sci., 368, http://doi.org/10.1098/rstb.2013.0112, 2013a.</w:t>
      </w:r>
    </w:p>
    <w:p w14:paraId="2C96E902" w14:textId="337E0354" w:rsidR="00935133" w:rsidRDefault="00935133" w:rsidP="00415E57">
      <w:pPr>
        <w:spacing w:before="180"/>
        <w:jc w:val="both"/>
        <w:rPr>
          <w:rFonts w:ascii="Times New Roman" w:eastAsia="宋体" w:hAnsi="Times New Roman" w:cs="Times New Roman"/>
        </w:rPr>
      </w:pPr>
      <w:r w:rsidRPr="00935133">
        <w:rPr>
          <w:rFonts w:ascii="Times New Roman" w:eastAsia="宋体" w:hAnsi="Times New Roman" w:cs="Times New Roman"/>
        </w:rPr>
        <w:lastRenderedPageBreak/>
        <w:t>Bouwman, L., Goldewijk, K. K., Van Der Hoek, K. W., Beusen, A. H., Van Vuuren, D. P., Willems, J., Rufino, M. C., and Stehfest, E.: Exploring global changes in nitrogen and phosphorus cycles in agriculture induced by livestock production over the 1900–2050 period, Proc. Natl. Acad. Sci. U. S. A., 110, 20882-20887, http://doi.org/</w:t>
      </w:r>
      <w:r>
        <w:rPr>
          <w:rFonts w:ascii="Times New Roman" w:eastAsia="宋体" w:hAnsi="Times New Roman" w:cs="Times New Roman"/>
        </w:rPr>
        <w:t>10.1073/pnas.1012878108, 2013b.</w:t>
      </w:r>
    </w:p>
    <w:p w14:paraId="7796390A" w14:textId="43E6B027" w:rsidR="00F45840" w:rsidRDefault="00F45840" w:rsidP="00415E57">
      <w:pPr>
        <w:spacing w:before="180"/>
        <w:jc w:val="both"/>
        <w:rPr>
          <w:rFonts w:ascii="Times New Roman" w:eastAsia="宋体" w:hAnsi="Times New Roman" w:cs="Times New Roman"/>
        </w:rPr>
      </w:pPr>
      <w:r w:rsidRPr="00F45840">
        <w:rPr>
          <w:rFonts w:ascii="Times New Roman" w:eastAsia="宋体" w:hAnsi="Times New Roman" w:cs="Times New Roman"/>
        </w:rPr>
        <w:t>Bünemann, E. K.: Assessment of gross and net mineralization rates of soil organic phosphorus–A review, Soil Biol. Biochem., 89, 82-98, http://doi.org/10.1016/j.soilbio.2015.06.026, 2015.</w:t>
      </w:r>
    </w:p>
    <w:p w14:paraId="2A75398A" w14:textId="48FBE63D" w:rsidR="003F463F" w:rsidRDefault="003F463F" w:rsidP="00415E57">
      <w:pPr>
        <w:spacing w:before="180"/>
        <w:jc w:val="both"/>
        <w:rPr>
          <w:rFonts w:ascii="Times New Roman" w:eastAsia="宋体" w:hAnsi="Times New Roman" w:cs="Times New Roman"/>
        </w:rPr>
      </w:pPr>
      <w:r w:rsidRPr="003F463F">
        <w:rPr>
          <w:rFonts w:ascii="Times New Roman" w:eastAsia="宋体" w:hAnsi="Times New Roman" w:cs="Times New Roman"/>
        </w:rPr>
        <w:t>Butler, E. E., Datta, A., Flores-Moreno, H., Chen, M., Wythers, K. R., Fazayeli, F., Banerjee, A., Atkin, O. K., Kattge, J., Amiaud, B., Blonder, B., Boenisch, G., Bond-Lamberty, B., Brown, K. A., Byun, C., Campetella, G., Cerabolini, B. E. L., Cornelissen, J. H. C., Craine, J. M., Craven, D., de Vries, F. T., Díaz, S., Domingues, T. F., Forey, E., González-Melo, A., Gross, N., Han, W., Hattingh, W. N., Hickler, T., Jansen, S., Kramer, K., Kraft, N. J. B., Kurokawa, H., Laughlin, D. C., Meir, P., Minden, V., Niinemets, Ü., Onoda, Y., Peñuelas, J., Read, Q., Sack, L., Schamp, B., Soudzilovskaia, N. A., Spasojevic, M. J., Sosinski, E., Thornton, P. E., Valladares, F., van Bodegom, P. M., Williams, M., Wirth, C., and Reich, P. B.: Mapping local and global variability in plant trait distributions, Proc. Natl. Acad. Sci. U. S. A., 114, E10937-E10946, http://doi.org/10.1073/pnas.1708984114, 2017.</w:t>
      </w:r>
    </w:p>
    <w:p w14:paraId="69550093" w14:textId="73D7F081" w:rsidR="00A3606E" w:rsidRDefault="00A3606E" w:rsidP="00415E57">
      <w:pPr>
        <w:spacing w:before="180"/>
        <w:jc w:val="both"/>
        <w:rPr>
          <w:rFonts w:ascii="Times New Roman" w:eastAsia="宋体" w:hAnsi="Times New Roman" w:cs="Times New Roman"/>
        </w:rPr>
      </w:pPr>
      <w:r w:rsidRPr="00A3606E">
        <w:rPr>
          <w:rFonts w:ascii="Times New Roman" w:eastAsia="宋体" w:hAnsi="Times New Roman" w:cs="Times New Roman"/>
        </w:rPr>
        <w:t>Chevallier, F., Fisher, M., Peylin, P., Serrar, S., Bousquet, P., Bréon, F. M., Chédin, A., and Ciais, P.: Inferring CO2 sources and sinks from satellite observations: Method and application to TOVS data, J. Geophys. Res.-Atmos., 110, http://doi.org/10.1029/2005JD006390, 2005.</w:t>
      </w:r>
    </w:p>
    <w:p w14:paraId="0341F215" w14:textId="0CEF9114" w:rsidR="00512EB6" w:rsidRDefault="00512EB6" w:rsidP="00415E57">
      <w:pPr>
        <w:spacing w:before="180"/>
        <w:jc w:val="both"/>
        <w:rPr>
          <w:rFonts w:ascii="Times New Roman" w:eastAsia="宋体" w:hAnsi="Times New Roman" w:cs="Times New Roman"/>
        </w:rPr>
      </w:pPr>
      <w:r w:rsidRPr="00512EB6">
        <w:rPr>
          <w:rFonts w:ascii="Times New Roman" w:eastAsia="宋体" w:hAnsi="Times New Roman" w:cs="Times New Roman"/>
        </w:rPr>
        <w:t xml:space="preserve">Cleveland, C. C., Townsend, A. R., Schimel, D. S., Fisher, H., </w:t>
      </w:r>
      <w:r w:rsidR="00C27D84">
        <w:rPr>
          <w:rFonts w:ascii="Times New Roman" w:eastAsia="宋体" w:hAnsi="Times New Roman" w:cs="Times New Roman"/>
        </w:rPr>
        <w:t xml:space="preserve">Howarth, R. W., Hedin, L. O., Perakis, S. S., Latty, E. F., </w:t>
      </w:r>
      <w:r w:rsidR="009A4F42">
        <w:rPr>
          <w:rFonts w:ascii="Times New Roman" w:eastAsia="宋体" w:hAnsi="Times New Roman" w:cs="Times New Roman"/>
        </w:rPr>
        <w:t>Fischer, J. C. V.,</w:t>
      </w:r>
      <w:r w:rsidRPr="00512EB6">
        <w:rPr>
          <w:rFonts w:ascii="Times New Roman" w:eastAsia="宋体" w:hAnsi="Times New Roman" w:cs="Times New Roman"/>
        </w:rPr>
        <w:t xml:space="preserve"> </w:t>
      </w:r>
      <w:r w:rsidR="009A4F42">
        <w:rPr>
          <w:rFonts w:ascii="Times New Roman" w:eastAsia="宋体" w:hAnsi="Times New Roman" w:cs="Times New Roman"/>
        </w:rPr>
        <w:t xml:space="preserve">Elseroad, A., </w:t>
      </w:r>
      <w:r w:rsidR="005E35CD">
        <w:rPr>
          <w:rFonts w:ascii="Times New Roman" w:eastAsia="宋体" w:hAnsi="Times New Roman" w:cs="Times New Roman"/>
        </w:rPr>
        <w:t>and</w:t>
      </w:r>
      <w:r w:rsidRPr="00512EB6">
        <w:rPr>
          <w:rFonts w:ascii="Times New Roman" w:eastAsia="宋体" w:hAnsi="Times New Roman" w:cs="Times New Roman"/>
        </w:rPr>
        <w:t xml:space="preserve"> Wasson, M. F.</w:t>
      </w:r>
      <w:r w:rsidR="00681209">
        <w:rPr>
          <w:rFonts w:ascii="Times New Roman" w:eastAsia="宋体" w:hAnsi="Times New Roman" w:cs="Times New Roman"/>
        </w:rPr>
        <w:t>:</w:t>
      </w:r>
      <w:r w:rsidRPr="00512EB6">
        <w:rPr>
          <w:rFonts w:ascii="Times New Roman" w:eastAsia="宋体" w:hAnsi="Times New Roman" w:cs="Times New Roman"/>
        </w:rPr>
        <w:t xml:space="preserve"> Global patterns of terrestrial biological nitrogen (N2)</w:t>
      </w:r>
      <w:r w:rsidR="00681209">
        <w:rPr>
          <w:rFonts w:ascii="Times New Roman" w:eastAsia="宋体" w:hAnsi="Times New Roman" w:cs="Times New Roman"/>
        </w:rPr>
        <w:t xml:space="preserve"> fixation in natural ecosystems,</w:t>
      </w:r>
      <w:r w:rsidR="00A63CC1">
        <w:rPr>
          <w:rFonts w:ascii="Times New Roman" w:eastAsia="宋体" w:hAnsi="Times New Roman" w:cs="Times New Roman"/>
        </w:rPr>
        <w:t xml:space="preserve"> Global biogeochem</w:t>
      </w:r>
      <w:r w:rsidR="00ED5A68">
        <w:rPr>
          <w:rFonts w:ascii="Times New Roman" w:eastAsia="宋体" w:hAnsi="Times New Roman" w:cs="Times New Roman"/>
        </w:rPr>
        <w:t>.</w:t>
      </w:r>
      <w:r w:rsidRPr="00512EB6">
        <w:rPr>
          <w:rFonts w:ascii="Times New Roman" w:eastAsia="宋体" w:hAnsi="Times New Roman" w:cs="Times New Roman"/>
        </w:rPr>
        <w:t xml:space="preserve"> cycles, 13(2), 623-645</w:t>
      </w:r>
      <w:r w:rsidR="00681209">
        <w:rPr>
          <w:rFonts w:ascii="Times New Roman" w:eastAsia="宋体" w:hAnsi="Times New Roman" w:cs="Times New Roman"/>
        </w:rPr>
        <w:t xml:space="preserve">, </w:t>
      </w:r>
      <w:r w:rsidR="00681209" w:rsidRPr="00681209">
        <w:rPr>
          <w:rFonts w:ascii="Times New Roman" w:eastAsia="宋体" w:hAnsi="Times New Roman" w:cs="Times New Roman"/>
        </w:rPr>
        <w:t>https://doi.org/10.1029/1999GB900014</w:t>
      </w:r>
      <w:r w:rsidR="00681209">
        <w:rPr>
          <w:rFonts w:ascii="Times New Roman" w:eastAsia="宋体" w:hAnsi="Times New Roman" w:cs="Times New Roman"/>
        </w:rPr>
        <w:t>,1999</w:t>
      </w:r>
      <w:r w:rsidRPr="00512EB6">
        <w:rPr>
          <w:rFonts w:ascii="Times New Roman" w:eastAsia="宋体" w:hAnsi="Times New Roman" w:cs="Times New Roman"/>
        </w:rPr>
        <w:t>.</w:t>
      </w:r>
      <w:bookmarkStart w:id="0" w:name="_GoBack"/>
      <w:bookmarkEnd w:id="0"/>
    </w:p>
    <w:p w14:paraId="0EF521EA" w14:textId="6C5C6193" w:rsidR="00512EB6" w:rsidRDefault="00512EB6" w:rsidP="00415E57">
      <w:pPr>
        <w:spacing w:before="180"/>
        <w:jc w:val="both"/>
        <w:rPr>
          <w:rFonts w:ascii="Times New Roman" w:eastAsia="宋体" w:hAnsi="Times New Roman" w:cs="Times New Roman"/>
        </w:rPr>
      </w:pPr>
      <w:r w:rsidRPr="00127663">
        <w:rPr>
          <w:rFonts w:ascii="Times New Roman" w:eastAsia="宋体" w:hAnsi="Times New Roman" w:cs="Times New Roman"/>
        </w:rPr>
        <w:t>Conant, R. T., Berdanier, A. B., and Grace, P. R.: Patterns and trends in nitrogen use and nitrogen recovery efficiency in world agriculture, Global Biogeochem. Cycles, 27, 558-566, http://doi.org/10.1002/gbc.20053, 2013.</w:t>
      </w:r>
    </w:p>
    <w:p w14:paraId="45B6FAAA" w14:textId="0B1B9190" w:rsidR="00D517A5" w:rsidRDefault="00D517A5" w:rsidP="00415E57">
      <w:pPr>
        <w:spacing w:before="180"/>
        <w:jc w:val="both"/>
        <w:rPr>
          <w:rFonts w:ascii="Times New Roman" w:eastAsia="宋体" w:hAnsi="Times New Roman" w:cs="Times New Roman"/>
        </w:rPr>
      </w:pPr>
      <w:r w:rsidRPr="00D517A5">
        <w:rPr>
          <w:rFonts w:ascii="Times New Roman" w:eastAsia="宋体" w:hAnsi="Times New Roman" w:cs="Times New Roman"/>
        </w:rPr>
        <w:t>Du, E., Terrer, C., Pellegrini, A. F., Ahlström, A., van Lissa, C. J., Zhao, X., Xia, N., Wu, X., and Jackson, R. B.: Global patterns of terrestrial nitrogen and phosphorus limitation, Nat. Geosci., 13, 221-226, http://doi.org/10.1038/s41561-019-0530-4, 2020.</w:t>
      </w:r>
    </w:p>
    <w:p w14:paraId="02E06AA6" w14:textId="624114D7" w:rsidR="00D517A5" w:rsidRDefault="00D517A5" w:rsidP="00415E57">
      <w:pPr>
        <w:spacing w:before="180"/>
        <w:jc w:val="both"/>
        <w:rPr>
          <w:rFonts w:ascii="Times New Roman" w:eastAsia="宋体" w:hAnsi="Times New Roman" w:cs="Times New Roman"/>
        </w:rPr>
      </w:pPr>
      <w:r w:rsidRPr="00D517A5">
        <w:rPr>
          <w:rFonts w:ascii="Times New Roman" w:eastAsia="宋体" w:hAnsi="Times New Roman" w:cs="Times New Roman"/>
        </w:rPr>
        <w:t>Fardeau, J., Morel, C., and Boniface, R.: Phosphate ion transfer from soil to soil solution: kinetic parameters [available P, phosphate flow], Agronomie, http://doi.org/10.1051/agro:19910909, 1991.</w:t>
      </w:r>
    </w:p>
    <w:p w14:paraId="1BDDC239" w14:textId="42213FC5" w:rsidR="00D517A5" w:rsidRDefault="00D517A5" w:rsidP="00415E57">
      <w:pPr>
        <w:spacing w:before="180"/>
        <w:jc w:val="both"/>
        <w:rPr>
          <w:rFonts w:ascii="Times New Roman" w:eastAsia="宋体" w:hAnsi="Times New Roman" w:cs="Times New Roman"/>
        </w:rPr>
      </w:pPr>
      <w:r w:rsidRPr="00D517A5">
        <w:rPr>
          <w:rFonts w:ascii="Times New Roman" w:eastAsia="宋体" w:hAnsi="Times New Roman" w:cs="Times New Roman"/>
        </w:rPr>
        <w:t>Frossard, E., Achat, D. L., Bernasconi, S. M., Bünemann, E. K., Fardeau, J.-C., Jansa, J., Morel, C., Rabeharisoa, L., Randriamanantsoa, L., Sinaj, S., Tamburini, F., and Oberson, A.: The use of tracers to investigate phosphate cycling in soil–plant systems, in: Phosphorus in Action, Springer, 59-91, 2011.</w:t>
      </w:r>
    </w:p>
    <w:p w14:paraId="14BC07A9" w14:textId="77777777" w:rsidR="00BA48F1" w:rsidRPr="00BA48F1" w:rsidRDefault="00BA48F1" w:rsidP="00BA48F1">
      <w:pPr>
        <w:spacing w:before="180"/>
        <w:jc w:val="both"/>
        <w:rPr>
          <w:rFonts w:ascii="Times New Roman" w:eastAsia="宋体" w:hAnsi="Times New Roman" w:cs="Times New Roman"/>
        </w:rPr>
      </w:pPr>
      <w:r w:rsidRPr="00BA48F1">
        <w:rPr>
          <w:rFonts w:ascii="Times New Roman" w:eastAsia="宋体" w:hAnsi="Times New Roman" w:cs="Times New Roman"/>
        </w:rPr>
        <w:t>Gobron, N., Pinty, B., Aussedat, O., Chen, J., Cohen, W. B., Fensholt, R., Gond, V., Huemmrich, K. F., Lavergne, T., Mélin, F., Privette, J. L., Sandholt, I., Taberner, M., Turner, D. P., Verstraete, M. M., and Widlowski, J.: Evaluation of fraction of absorbed photosynthetically active radiation products for different canopy radiation transfer regimes: Methodology and results using Joint Research Center products derived from SeaWiFS against ground-based estimations, J. Geophys. Res.-Atmos, 111, D13110, http://doi.org/10.1029/2005JD006511, 2006a.</w:t>
      </w:r>
    </w:p>
    <w:p w14:paraId="405D972B" w14:textId="026AF707" w:rsidR="00BA48F1" w:rsidRDefault="00BA48F1" w:rsidP="00415E57">
      <w:pPr>
        <w:spacing w:before="180"/>
        <w:jc w:val="both"/>
        <w:rPr>
          <w:rFonts w:ascii="Times New Roman" w:eastAsia="宋体" w:hAnsi="Times New Roman" w:cs="Times New Roman"/>
        </w:rPr>
      </w:pPr>
      <w:r w:rsidRPr="00BA48F1">
        <w:rPr>
          <w:rFonts w:ascii="Times New Roman" w:eastAsia="宋体" w:hAnsi="Times New Roman" w:cs="Times New Roman"/>
        </w:rPr>
        <w:lastRenderedPageBreak/>
        <w:t>Gobron, N., Pinty, B., Taberner, M., Mélin, F., Verstraete, M., and Widlowski, J.-L.: Monitoring the photosynthetic activity of vegetation from remote sensing data, Adv. Space Res., 38, 2196-2202, http://doi.org/10</w:t>
      </w:r>
      <w:r w:rsidR="0048364D">
        <w:rPr>
          <w:rFonts w:ascii="Times New Roman" w:eastAsia="宋体" w:hAnsi="Times New Roman" w:cs="Times New Roman"/>
        </w:rPr>
        <w:t>.1016/j.asr.2003.07.079, 2006b.</w:t>
      </w:r>
    </w:p>
    <w:p w14:paraId="1E604676" w14:textId="6C5F2217" w:rsidR="004F0702" w:rsidRDefault="004F0702" w:rsidP="00415E57">
      <w:pPr>
        <w:spacing w:before="180"/>
        <w:jc w:val="both"/>
        <w:rPr>
          <w:rFonts w:ascii="Times New Roman" w:eastAsia="宋体" w:hAnsi="Times New Roman" w:cs="Times New Roman"/>
        </w:rPr>
      </w:pPr>
      <w:r w:rsidRPr="004F0702">
        <w:rPr>
          <w:rFonts w:ascii="Times New Roman" w:eastAsia="宋体" w:hAnsi="Times New Roman" w:cs="Times New Roman"/>
        </w:rPr>
        <w:t>Goll, D. S., Brovkin, V., Parida, B., Reick, C. H., Kattge, J., Reich, P. B., Van Bodegom, P., and Niinemets, Ü.: Nutrient limitation reduces land carbon uptake in simulations with a model of combined carbon, nitrogen and phosphorus cycling, Biogeosciences, 9, 3547-3569, http://doi.org/10.5194/bg-9-3547-2012, 2012.</w:t>
      </w:r>
    </w:p>
    <w:p w14:paraId="0F8EBF55" w14:textId="77777777" w:rsidR="00CF2824" w:rsidRDefault="00CF2824" w:rsidP="00CF2824">
      <w:pPr>
        <w:spacing w:before="180"/>
        <w:jc w:val="both"/>
        <w:rPr>
          <w:rFonts w:ascii="Times New Roman" w:eastAsia="宋体" w:hAnsi="Times New Roman" w:cs="Times New Roman"/>
        </w:rPr>
      </w:pPr>
      <w:r w:rsidRPr="00CF2824">
        <w:rPr>
          <w:rFonts w:ascii="Times New Roman" w:eastAsia="宋体" w:hAnsi="Times New Roman" w:cs="Times New Roman"/>
        </w:rPr>
        <w:t>Goll, D., Vuichard, N., Maignan, F., Jornet-Puig, A., Sardans, J., Violette, A., Peng, S., Sun, Y., Kvakic, M., and Guimberteau, M.: A representation of the phosphorus cycle for ORCHIDEE (revision 4520), Geosci. Model Dev., 10, 3745-3770, http://doi.org/10.5194/gmd-10-3745-2017, 2017a.</w:t>
      </w:r>
    </w:p>
    <w:p w14:paraId="277AD173" w14:textId="07D5D426" w:rsidR="00D517A5" w:rsidRPr="00CF2824" w:rsidRDefault="00D517A5" w:rsidP="00CF2824">
      <w:pPr>
        <w:spacing w:before="180"/>
        <w:jc w:val="both"/>
        <w:rPr>
          <w:rFonts w:ascii="Times New Roman" w:eastAsia="宋体" w:hAnsi="Times New Roman" w:cs="Times New Roman"/>
        </w:rPr>
      </w:pPr>
      <w:r w:rsidRPr="00D517A5">
        <w:rPr>
          <w:rFonts w:ascii="Times New Roman" w:eastAsia="宋体" w:hAnsi="Times New Roman" w:cs="Times New Roman"/>
        </w:rPr>
        <w:t>Galloway, J. N., Dentener, F. J., Capone, D. G., Boyer, E. W., Howarth, R. W., Seitzinger, S. P., Asner, G. P., Cleveland, C. C., Green, P., Holland, E. A. Karl, D. M., Michaels, A. F., Porter, J. H., Townsend, A. R., Vöosmarty, C. J.: Nitrogen cycles: past, present, and future, Biogeochemistry, 70, 153-226, http://doi.org/10.1007/s10533-004-0370-0, 2004.</w:t>
      </w:r>
    </w:p>
    <w:p w14:paraId="724EC74A" w14:textId="77777777" w:rsidR="00CF2824" w:rsidRPr="00CF2824" w:rsidRDefault="00CF2824" w:rsidP="00CF2824">
      <w:pPr>
        <w:spacing w:before="180"/>
        <w:jc w:val="both"/>
        <w:rPr>
          <w:rFonts w:ascii="Times New Roman" w:eastAsia="宋体" w:hAnsi="Times New Roman" w:cs="Times New Roman"/>
        </w:rPr>
      </w:pPr>
      <w:r w:rsidRPr="00CF2824">
        <w:rPr>
          <w:rFonts w:ascii="Times New Roman" w:eastAsia="宋体" w:hAnsi="Times New Roman" w:cs="Times New Roman"/>
        </w:rPr>
        <w:t>Goll, D. S., Winkler, A. J., Raddatz, T., Dong, N., Prentice, I. C., Ciais, P., and Brovkin, V.: Carbon-nitrogen interactions in idealized simulations with JSBACH (version 3.10), Geosci. Model Dev., 10, 2009-2030, http://doi.org/10.5194/gmd-10-2009-2017, 2017b.</w:t>
      </w:r>
    </w:p>
    <w:p w14:paraId="5340508D" w14:textId="77777777" w:rsidR="00CF2824" w:rsidRPr="00CF2824" w:rsidRDefault="00CF2824" w:rsidP="00CF2824">
      <w:pPr>
        <w:spacing w:before="180"/>
        <w:jc w:val="both"/>
        <w:rPr>
          <w:rFonts w:ascii="Times New Roman" w:eastAsia="宋体" w:hAnsi="Times New Roman" w:cs="Times New Roman"/>
        </w:rPr>
      </w:pPr>
      <w:r w:rsidRPr="00CF2824">
        <w:rPr>
          <w:rFonts w:ascii="Times New Roman" w:eastAsia="宋体" w:hAnsi="Times New Roman" w:cs="Times New Roman"/>
        </w:rPr>
        <w:t>Goll, D. S., Joetzjer, E., Huang, M., and Ciais, P.: Low phosphorus availability decreases susceptibility of tropical primary productivity to droughts, Geophys. Res. Lett., 45, 8231-8240, http://doi.org/10.1029/2018GL077736, 2018.</w:t>
      </w:r>
    </w:p>
    <w:p w14:paraId="3645DB96" w14:textId="64BC93D4" w:rsidR="000F5196" w:rsidRDefault="000F5196" w:rsidP="00415E57">
      <w:pPr>
        <w:spacing w:before="180"/>
        <w:jc w:val="both"/>
        <w:rPr>
          <w:rFonts w:ascii="Times New Roman" w:eastAsia="宋体" w:hAnsi="Times New Roman" w:cs="Times New Roman"/>
        </w:rPr>
      </w:pPr>
      <w:r w:rsidRPr="000F5196">
        <w:rPr>
          <w:rFonts w:ascii="Times New Roman" w:eastAsia="宋体" w:hAnsi="Times New Roman" w:cs="Times New Roman"/>
        </w:rPr>
        <w:t>Helfenstein, J., Jegminat, J., McLaren, T. I., and Frossard, E.: Soil solution phosphorus turnover: derivation, interpretation, and insights from a global compilation of isotope exchange kinetic studies, Biogeosciences, 15, 105-114, http://doi.org/10.5194/bg-15-105-2018, 2018.</w:t>
      </w:r>
    </w:p>
    <w:p w14:paraId="5BBFB337" w14:textId="56CE2A78" w:rsidR="00D517A5" w:rsidRDefault="00D517A5" w:rsidP="00415E57">
      <w:pPr>
        <w:spacing w:before="180"/>
        <w:jc w:val="both"/>
        <w:rPr>
          <w:rFonts w:ascii="Times New Roman" w:eastAsia="宋体" w:hAnsi="Times New Roman" w:cs="Times New Roman"/>
        </w:rPr>
      </w:pPr>
      <w:r w:rsidRPr="00D517A5">
        <w:rPr>
          <w:rFonts w:ascii="Times New Roman" w:eastAsia="宋体" w:hAnsi="Times New Roman" w:cs="Times New Roman"/>
        </w:rPr>
        <w:t>Helfenstein, J., Pistocchi, C., Oberson, A., Tamburini, F., Goll, D. S., and Frossard, E.: Estimates of mean residence times of phosphorus in commonly considered inorganic soil phosphorus pools, Biogeosciences, 17, 441-454, http://doi.org/10.5194/bg-17-441-2020, 2020.</w:t>
      </w:r>
    </w:p>
    <w:p w14:paraId="63E361C8" w14:textId="26B3002B" w:rsidR="0040466B" w:rsidRDefault="0040466B" w:rsidP="00415E57">
      <w:pPr>
        <w:spacing w:before="180"/>
        <w:jc w:val="both"/>
        <w:rPr>
          <w:rFonts w:ascii="Times New Roman" w:eastAsia="宋体" w:hAnsi="Times New Roman" w:cs="Times New Roman"/>
        </w:rPr>
      </w:pPr>
      <w:r w:rsidRPr="0040466B">
        <w:rPr>
          <w:rFonts w:ascii="Times New Roman" w:eastAsia="宋体" w:hAnsi="Times New Roman" w:cs="Times New Roman"/>
        </w:rPr>
        <w:t>Hengl, T., de Jesus, J. M., MacMillan, R. A., Batjes, N. H., Heuvelink, G. B., Ribeiro, E., Samuel-Rosa, A., Kempen, B., Leenaars, J. G., Walsh, M. G. Gonzalez, M. R.: SoilGrids1km—global soil information based on automated mapping, PLoS One, 9, http://doi.org/10.1371/journal.pone.0105992, 2014.</w:t>
      </w:r>
    </w:p>
    <w:p w14:paraId="5BC2ABDE" w14:textId="66962C5D" w:rsidR="00F43D82" w:rsidRDefault="00F43D82" w:rsidP="00415E57">
      <w:pPr>
        <w:spacing w:before="180"/>
        <w:jc w:val="both"/>
        <w:rPr>
          <w:rFonts w:ascii="Times New Roman" w:eastAsia="宋体" w:hAnsi="Times New Roman" w:cs="Times New Roman"/>
        </w:rPr>
      </w:pPr>
      <w:r w:rsidRPr="00F43D82">
        <w:rPr>
          <w:rFonts w:ascii="Times New Roman" w:eastAsia="宋体" w:hAnsi="Times New Roman" w:cs="Times New Roman"/>
        </w:rPr>
        <w:t>Houlton, B. Z., Wang, Y.-P., Vitousek, P. M., and Field, C. B.: A unifying framework for dinitrogen fixation in the terrestrial biosphere, Nature, 454, 327-330, http://doi.org/10.1038/nature07028, 2008.</w:t>
      </w:r>
    </w:p>
    <w:p w14:paraId="5772ACB1" w14:textId="21BAA6AC" w:rsidR="00761F4E" w:rsidRDefault="00761F4E" w:rsidP="00415E57">
      <w:pPr>
        <w:spacing w:before="180"/>
        <w:jc w:val="both"/>
        <w:rPr>
          <w:rFonts w:ascii="Times New Roman" w:eastAsia="宋体" w:hAnsi="Times New Roman" w:cs="Times New Roman"/>
        </w:rPr>
      </w:pPr>
      <w:r w:rsidRPr="00761F4E">
        <w:rPr>
          <w:rFonts w:ascii="Times New Roman" w:eastAsia="宋体" w:hAnsi="Times New Roman" w:cs="Times New Roman"/>
        </w:rPr>
        <w:t>Jiang, M., Caldararu, S., Zaehle, S., Ellsworth, D. S., and Medlyn, B. E.: Towards a more physiological representation of vegetation phosphorus processes in land surface models, New Phytol., 222, 1223-1229, http://doi.org/10.1111/nph.15688, 2019.</w:t>
      </w:r>
    </w:p>
    <w:p w14:paraId="1B8BB6B8" w14:textId="49477348" w:rsidR="00785BED" w:rsidRDefault="00785BED" w:rsidP="00415E57">
      <w:pPr>
        <w:spacing w:before="180"/>
        <w:jc w:val="both"/>
        <w:rPr>
          <w:rFonts w:ascii="Times New Roman" w:eastAsia="宋体" w:hAnsi="Times New Roman" w:cs="Times New Roman"/>
        </w:rPr>
      </w:pPr>
      <w:r w:rsidRPr="00785BED">
        <w:rPr>
          <w:rFonts w:ascii="Times New Roman" w:eastAsia="宋体" w:hAnsi="Times New Roman" w:cs="Times New Roman"/>
        </w:rPr>
        <w:t>Jung, M., Reichstein, M., and Bondeau, A.: Towards global empirical upscaling of FLUXNET eddy covariance observations: validation of a model tree ensemble approach using a biosphere model, Biogeosciences, http://doi.org/10.5194/bg-6-2001-2009, 2009.</w:t>
      </w:r>
    </w:p>
    <w:p w14:paraId="3660B9F8" w14:textId="6E2B9C3D" w:rsidR="00102215" w:rsidRDefault="00102215" w:rsidP="00415E57">
      <w:pPr>
        <w:spacing w:before="180"/>
        <w:jc w:val="both"/>
        <w:rPr>
          <w:rFonts w:ascii="Times New Roman" w:eastAsia="宋体" w:hAnsi="Times New Roman" w:cs="Times New Roman"/>
        </w:rPr>
      </w:pPr>
      <w:r w:rsidRPr="00102215">
        <w:rPr>
          <w:rFonts w:ascii="Times New Roman" w:eastAsia="宋体" w:hAnsi="Times New Roman" w:cs="Times New Roman"/>
        </w:rPr>
        <w:t xml:space="preserve">Jung, M., Reichstein, M., Margolis, H. A., Cescatti, A., Richardson, A. D., Arain, M. A., Arneth, A., Bernhofer, C., Bonal, D., Chen, J., Damiano, G., Gobron, N., Kiely, G., Kutsch, </w:t>
      </w:r>
      <w:r w:rsidRPr="00102215">
        <w:rPr>
          <w:rFonts w:ascii="Times New Roman" w:eastAsia="宋体" w:hAnsi="Times New Roman" w:cs="Times New Roman"/>
        </w:rPr>
        <w:lastRenderedPageBreak/>
        <w:t>W., Lasslop, G., Law, B. E., Lindroth, A., Merbold, L., Montagnani, L., Moors, E. J., Papale, D., Sottocornola, M., Vaccari, F., and Williams, C.: Global patterns of land-atmosphere fluxes of carbon dioxide, la- tent heat, and sensible heat derived from eddy covariance, satel- lite, and meteorological observations, J. Geophys. Res.-Biogeo., 116, http://doi.org/10.1029/2010JG001566, 2011.</w:t>
      </w:r>
    </w:p>
    <w:p w14:paraId="4C2CBAB5" w14:textId="6A8DE976" w:rsidR="00B44728" w:rsidRDefault="00B44728" w:rsidP="00415E57">
      <w:pPr>
        <w:spacing w:before="180"/>
        <w:jc w:val="both"/>
        <w:rPr>
          <w:rFonts w:ascii="Times New Roman" w:eastAsia="宋体" w:hAnsi="Times New Roman" w:cs="Times New Roman"/>
        </w:rPr>
      </w:pPr>
      <w:r w:rsidRPr="00B44728">
        <w:rPr>
          <w:rFonts w:ascii="Times New Roman" w:eastAsia="宋体" w:hAnsi="Times New Roman" w:cs="Times New Roman"/>
        </w:rPr>
        <w:t>Krinner, G., Viovy, N., de Noblet</w:t>
      </w:r>
      <w:r w:rsidRPr="00B44728">
        <w:t>‐</w:t>
      </w:r>
      <w:r w:rsidRPr="00B44728">
        <w:rPr>
          <w:rFonts w:ascii="Times New Roman" w:eastAsia="宋体" w:hAnsi="Times New Roman" w:cs="Times New Roman"/>
        </w:rPr>
        <w:t>Ducoudré, N., Ogée, J., Polcher, J., Friedlingstein, P., Ciais, P., Sitch, S., and Prentice, I. C.: A dynamic global vegetation model for studies of the coupled atmosphere</w:t>
      </w:r>
      <w:r w:rsidRPr="00B44728">
        <w:t>‐</w:t>
      </w:r>
      <w:r w:rsidRPr="00B44728">
        <w:rPr>
          <w:rFonts w:ascii="Times New Roman" w:eastAsia="宋体" w:hAnsi="Times New Roman" w:cs="Times New Roman"/>
        </w:rPr>
        <w:t>biosphere system, Glob. Biogeochem. Cycle, 19, http://doi.org/10.1029/2003GB002199, 2005.</w:t>
      </w:r>
    </w:p>
    <w:p w14:paraId="6396FA7F" w14:textId="7D658CB7" w:rsidR="00127663" w:rsidRDefault="00127663" w:rsidP="00415E57">
      <w:pPr>
        <w:spacing w:before="180"/>
        <w:jc w:val="both"/>
        <w:rPr>
          <w:rFonts w:ascii="Times New Roman" w:eastAsia="宋体" w:hAnsi="Times New Roman" w:cs="Times New Roman"/>
        </w:rPr>
      </w:pPr>
      <w:r w:rsidRPr="00127663">
        <w:rPr>
          <w:rFonts w:ascii="Times New Roman" w:eastAsia="宋体" w:hAnsi="Times New Roman" w:cs="Times New Roman"/>
        </w:rPr>
        <w:t>Lassaletta, L., Billen, G., Grizzetti, B., Anglade, J., and Garnier, J.: 50 year trends in nitrogen use efficiency of world cropping systems: the relationship between yield and nitrogen input to cropland, Environ. Res. Lett., 9, 105011, http://doi.org/10.1088/1748-9326/9/10/105011, 2014.</w:t>
      </w:r>
    </w:p>
    <w:p w14:paraId="77AE4CA1" w14:textId="274A6CCE" w:rsidR="00904FC9" w:rsidRPr="00904FC9" w:rsidRDefault="00904FC9" w:rsidP="00904FC9">
      <w:pPr>
        <w:spacing w:before="120"/>
        <w:rPr>
          <w:rFonts w:ascii="Times New Roman" w:eastAsia="宋体" w:hAnsi="Times New Roman" w:cs="Times New Roman"/>
          <w:color w:val="000000"/>
        </w:rPr>
      </w:pPr>
      <w:r w:rsidRPr="00904FC9">
        <w:rPr>
          <w:rFonts w:ascii="Times New Roman" w:eastAsia="宋体" w:hAnsi="Times New Roman" w:cs="Times New Roman"/>
          <w:color w:val="000000"/>
        </w:rPr>
        <w:t>Liu, W., Yang, H., Ciais,</w:t>
      </w:r>
      <w:r w:rsidRPr="00904FC9">
        <w:rPr>
          <w:rFonts w:ascii="Times New Roman" w:eastAsia="宋体" w:hAnsi="Times New Roman" w:cs="Times New Roman" w:hint="eastAsia"/>
          <w:color w:val="000000"/>
        </w:rPr>
        <w:t xml:space="preserve"> P., Stamm, C., Zhao, X., Williams, J. R., Abbaspour, K. C., and Schulin, R.: Integrative Crop</w:t>
      </w:r>
      <w:r w:rsidRPr="00904FC9">
        <w:rPr>
          <w:rFonts w:ascii="Times New Roman" w:eastAsia="宋体" w:hAnsi="Times New Roman" w:cs="Times New Roman" w:hint="eastAsia"/>
          <w:color w:val="000000"/>
        </w:rPr>
        <w:t>‐</w:t>
      </w:r>
      <w:r w:rsidRPr="00904FC9">
        <w:rPr>
          <w:rFonts w:ascii="Times New Roman" w:eastAsia="宋体" w:hAnsi="Times New Roman" w:cs="Times New Roman" w:hint="eastAsia"/>
          <w:color w:val="000000"/>
        </w:rPr>
        <w:t>Soil</w:t>
      </w:r>
      <w:r w:rsidRPr="00904FC9">
        <w:rPr>
          <w:rFonts w:ascii="Times New Roman" w:eastAsia="宋体" w:hAnsi="Times New Roman" w:cs="Times New Roman" w:hint="eastAsia"/>
          <w:color w:val="000000"/>
        </w:rPr>
        <w:t>‐</w:t>
      </w:r>
      <w:r w:rsidRPr="00904FC9">
        <w:rPr>
          <w:rFonts w:ascii="Times New Roman" w:eastAsia="宋体" w:hAnsi="Times New Roman" w:cs="Times New Roman" w:hint="eastAsia"/>
          <w:color w:val="000000"/>
        </w:rPr>
        <w:t xml:space="preserve">Management Modeling to Assess Global Phosphorus Losses from Major Crop Cultivations, Glob. Biogeochem. Cycle, 32, 1074-1086, </w:t>
      </w:r>
      <w:r w:rsidRPr="00904FC9">
        <w:rPr>
          <w:rFonts w:ascii="Times New Roman" w:eastAsia="宋体" w:hAnsi="Times New Roman" w:cs="Times New Roman"/>
          <w:color w:val="000000"/>
        </w:rPr>
        <w:t>http://doi.org/10.1029/2017GB005849, 2018.</w:t>
      </w:r>
    </w:p>
    <w:p w14:paraId="559083C8" w14:textId="4042460C" w:rsidR="00127663" w:rsidRDefault="00127663" w:rsidP="00415E57">
      <w:pPr>
        <w:spacing w:before="180"/>
        <w:jc w:val="both"/>
        <w:rPr>
          <w:rFonts w:ascii="Times New Roman" w:eastAsia="宋体" w:hAnsi="Times New Roman" w:cs="Times New Roman"/>
        </w:rPr>
      </w:pPr>
      <w:r w:rsidRPr="00127663">
        <w:rPr>
          <w:rFonts w:ascii="Times New Roman" w:eastAsia="宋体" w:hAnsi="Times New Roman" w:cs="Times New Roman"/>
        </w:rPr>
        <w:t>Lu, C. C., and Tian, H.: Global nitrogen and phosphorus fertilizer use for agriculture production in the past half century: shifted hot spots and nutrient imbalance, Earth Syst. Sci. Data, 9, 181, http://doi.org/10.5194/essd-9-181-2017, 2017.</w:t>
      </w:r>
    </w:p>
    <w:p w14:paraId="57C045F1" w14:textId="78EBAAA5" w:rsidR="00935133" w:rsidRDefault="00935133" w:rsidP="00415E57">
      <w:pPr>
        <w:spacing w:before="180"/>
        <w:jc w:val="both"/>
        <w:rPr>
          <w:rFonts w:ascii="Times New Roman" w:eastAsia="宋体" w:hAnsi="Times New Roman" w:cs="Times New Roman"/>
        </w:rPr>
      </w:pPr>
      <w:r w:rsidRPr="00935133">
        <w:rPr>
          <w:rFonts w:ascii="Times New Roman" w:eastAsia="宋体" w:hAnsi="Times New Roman" w:cs="Times New Roman"/>
        </w:rPr>
        <w:t>Lun, F., Liu, J., Ciais, P., Nesme, T., Chang, J., Wang, R., Goll, D., Sardans, J., Peñuelas, J., and Obersteiner, M.: Global and regional phosphorus budgets in agricultural systems and their implications for phosphorus-use efficiency, Earth Syst. Sci. Data, 10, 1-18, http://doi.org/10.5194/essd-10-1-2018, 2018.</w:t>
      </w:r>
    </w:p>
    <w:p w14:paraId="0E4C6B38" w14:textId="0719A441" w:rsidR="00553A9A" w:rsidRDefault="00553A9A" w:rsidP="00415E57">
      <w:pPr>
        <w:spacing w:before="180"/>
        <w:jc w:val="both"/>
        <w:rPr>
          <w:rFonts w:ascii="Times New Roman" w:eastAsia="宋体" w:hAnsi="Times New Roman" w:cs="Times New Roman"/>
        </w:rPr>
      </w:pPr>
      <w:r w:rsidRPr="00553A9A">
        <w:rPr>
          <w:rFonts w:ascii="Times New Roman" w:eastAsia="宋体" w:hAnsi="Times New Roman" w:cs="Times New Roman"/>
        </w:rPr>
        <w:t>Margalef, O., Sardans, J., Fernández-Martínez, M., Molowny-Horas, R., Janssens, I., Ciais, P., Goll, D., Richter, A., Obersteiner, M., Asensio, D., and Peñuelas, J.: Global patterns of phosphatase activity in natural soils, Sci. Rep., 7, 1-13, http://doi.org/10.1038/s41598-017-01418-8, 2017.</w:t>
      </w:r>
    </w:p>
    <w:p w14:paraId="1F0C5F38" w14:textId="720CB066" w:rsidR="00F43D82" w:rsidRDefault="00F43D82" w:rsidP="00415E57">
      <w:pPr>
        <w:spacing w:before="180"/>
        <w:jc w:val="both"/>
        <w:rPr>
          <w:rFonts w:ascii="Times New Roman" w:eastAsia="宋体" w:hAnsi="Times New Roman" w:cs="Times New Roman"/>
        </w:rPr>
      </w:pPr>
      <w:r w:rsidRPr="00F43D82">
        <w:rPr>
          <w:rFonts w:ascii="Times New Roman" w:eastAsia="宋体" w:hAnsi="Times New Roman" w:cs="Times New Roman"/>
        </w:rPr>
        <w:t>Mayorga, E., Seitzinger, S. P., Harrison, J. A., Dumont, E., Beusen, A. H., Bouwman, A., Fekete, B. M., Kroeze, C., and Van Drecht, G.: Global nutrient export from WaterSheds 2 (NEWS 2): model development and implementation, Environ. Modell. Softw., 25, 837-853, http://doi.org/10.1016/j.envsoft.2010.01.007, 2010.</w:t>
      </w:r>
    </w:p>
    <w:p w14:paraId="5B7A20F7" w14:textId="72873F9E" w:rsidR="00935133" w:rsidRDefault="00935133" w:rsidP="00415E57">
      <w:pPr>
        <w:spacing w:before="180"/>
        <w:jc w:val="both"/>
        <w:rPr>
          <w:rFonts w:ascii="Times New Roman" w:eastAsia="宋体" w:hAnsi="Times New Roman" w:cs="Times New Roman"/>
        </w:rPr>
      </w:pPr>
      <w:r w:rsidRPr="00935133">
        <w:rPr>
          <w:rFonts w:ascii="Times New Roman" w:eastAsia="宋体" w:hAnsi="Times New Roman" w:cs="Times New Roman"/>
        </w:rPr>
        <w:t>Mekonnen, M. M., and Hoekstra, A. Y.: Global anthropogenic phosphorus loads to freshwater and associated grey water footprints and water pollution levels: A high</w:t>
      </w:r>
      <w:r w:rsidRPr="00935133">
        <w:t>‐</w:t>
      </w:r>
      <w:r w:rsidRPr="00935133">
        <w:rPr>
          <w:rFonts w:ascii="Times New Roman" w:eastAsia="宋体" w:hAnsi="Times New Roman" w:cs="Times New Roman"/>
        </w:rPr>
        <w:t>resolution global study, Water Resour. Res., 54, 345-358, http://doi.org/10.1002/2017WR020448, 2018.</w:t>
      </w:r>
    </w:p>
    <w:p w14:paraId="0DCAE849" w14:textId="2BE7A334" w:rsidR="009F15F9" w:rsidRDefault="009F15F9" w:rsidP="00415E57">
      <w:pPr>
        <w:spacing w:before="180"/>
        <w:jc w:val="both"/>
        <w:rPr>
          <w:rFonts w:ascii="Times New Roman" w:eastAsia="宋体" w:hAnsi="Times New Roman" w:cs="Times New Roman"/>
        </w:rPr>
      </w:pPr>
      <w:r w:rsidRPr="009F15F9">
        <w:rPr>
          <w:rFonts w:ascii="Times New Roman" w:eastAsia="宋体" w:hAnsi="Times New Roman" w:cs="Times New Roman"/>
        </w:rPr>
        <w:t>McGill, W., and Cole, C.: Comparative aspects of cycling of organic C, N, S and P through soil organic matter, Geoderma, 26, 267-286, http://doi.org/10.1016/0016-7061(81)90024-0, 1981.</w:t>
      </w:r>
    </w:p>
    <w:p w14:paraId="28F8F3CA" w14:textId="30769EF0" w:rsidR="008E33B6" w:rsidRDefault="008E33B6" w:rsidP="00415E57">
      <w:pPr>
        <w:spacing w:before="180"/>
        <w:jc w:val="both"/>
        <w:rPr>
          <w:rFonts w:ascii="Times New Roman" w:eastAsia="宋体" w:hAnsi="Times New Roman" w:cs="Times New Roman"/>
        </w:rPr>
      </w:pPr>
      <w:r w:rsidRPr="008E33B6">
        <w:rPr>
          <w:rFonts w:ascii="Times New Roman" w:eastAsia="宋体" w:hAnsi="Times New Roman" w:cs="Times New Roman"/>
        </w:rPr>
        <w:t>McGroddy, M. E., Daufresne, T., and Hedin, L. O.: Scaling of C: N: P stoichiometry in forests worldwide: Implications of terrestrial redfield</w:t>
      </w:r>
      <w:r w:rsidRPr="008E33B6">
        <w:t>‐</w:t>
      </w:r>
      <w:r w:rsidRPr="008E33B6">
        <w:rPr>
          <w:rFonts w:ascii="Times New Roman" w:eastAsia="宋体" w:hAnsi="Times New Roman" w:cs="Times New Roman"/>
        </w:rPr>
        <w:t>type ratios, Ecology, 85, 2390-2401, http://doi.org/10.1890/03-0351, 2004.</w:t>
      </w:r>
    </w:p>
    <w:p w14:paraId="47CCEF49" w14:textId="0D10344F" w:rsidR="00DC472E" w:rsidRDefault="00DC472E" w:rsidP="00415E57">
      <w:pPr>
        <w:spacing w:before="180"/>
        <w:jc w:val="both"/>
        <w:rPr>
          <w:rFonts w:ascii="Times New Roman" w:eastAsia="宋体" w:hAnsi="Times New Roman" w:cs="Times New Roman"/>
        </w:rPr>
      </w:pPr>
      <w:r w:rsidRPr="00DC472E">
        <w:rPr>
          <w:rFonts w:ascii="Times New Roman" w:eastAsia="宋体" w:hAnsi="Times New Roman" w:cs="Times New Roman"/>
        </w:rPr>
        <w:t>Monfreda, C., Ramankutty, N., and Foley, J. A.: Farming the planet: 2. Geographic distribution of crop areas, yields, physiological types, and net primary production in the year 2000, Glob. Biogeochem. Cycle, 22, http://doi.org/10.1029/2007GB002947, 2008.</w:t>
      </w:r>
    </w:p>
    <w:p w14:paraId="21E22B41" w14:textId="5623BC64" w:rsidR="001746F8" w:rsidRDefault="001746F8" w:rsidP="00415E57">
      <w:pPr>
        <w:spacing w:before="180"/>
        <w:jc w:val="both"/>
        <w:rPr>
          <w:rFonts w:ascii="Times New Roman" w:eastAsia="宋体" w:hAnsi="Times New Roman" w:cs="Times New Roman"/>
        </w:rPr>
      </w:pPr>
      <w:r w:rsidRPr="001746F8">
        <w:rPr>
          <w:rFonts w:ascii="Times New Roman" w:eastAsia="宋体" w:hAnsi="Times New Roman" w:cs="Times New Roman"/>
        </w:rPr>
        <w:lastRenderedPageBreak/>
        <w:t>Peng, J., Wang, Y. P., Houlton, B. Z., Dan, L., Pak, B., and Tang, X.: Global carbon sequestration is highly sensitive to model</w:t>
      </w:r>
      <w:r w:rsidRPr="001746F8">
        <w:t>‐</w:t>
      </w:r>
      <w:r w:rsidRPr="001746F8">
        <w:rPr>
          <w:rFonts w:ascii="Times New Roman" w:eastAsia="宋体" w:hAnsi="Times New Roman" w:cs="Times New Roman"/>
        </w:rPr>
        <w:t>based formulations of nitrogen fixation, Glob. Biogeochem. Cycle, http://doi.org/10.1029/2019GB006296, 2019.</w:t>
      </w:r>
    </w:p>
    <w:p w14:paraId="5A28723F" w14:textId="04881482" w:rsidR="009D0265" w:rsidRDefault="009D0265" w:rsidP="00415E57">
      <w:pPr>
        <w:spacing w:before="180"/>
        <w:jc w:val="both"/>
        <w:rPr>
          <w:rFonts w:ascii="Times New Roman" w:eastAsia="宋体" w:hAnsi="Times New Roman" w:cs="Times New Roman"/>
        </w:rPr>
      </w:pPr>
      <w:r w:rsidRPr="009D0265">
        <w:rPr>
          <w:rFonts w:ascii="Times New Roman" w:eastAsia="宋体" w:hAnsi="Times New Roman" w:cs="Times New Roman"/>
        </w:rPr>
        <w:t>Piao, S., Sitch, S., Ciais, P., Friedlingstein, P., Peylin, P., Wang, X., Ahlström, A., Anav, A., Canadell, J. G., Cong, N., Huntingford, C., Jung, M., Levis, S., Levy, P. E., Li, J., Lin, X., Lomas, M. R., Lu, M., Luo, Y., Ma, Y., Myneni, R. B., Poulter, B., Sun, Z., Wang, T., Viovy, N., Zaehle, S., and Zeng, N.: Evaluation of terrestrial carbon cycle models for their response to climate variability and to CO2 trends, Global Change Biol., 19, 2117– 2132, http://doi.org/10.1111/gcb.12187, 2013.</w:t>
      </w:r>
    </w:p>
    <w:p w14:paraId="3AA3F145" w14:textId="293261E9" w:rsidR="007078E2" w:rsidRDefault="007078E2" w:rsidP="00415E57">
      <w:pPr>
        <w:spacing w:before="180"/>
        <w:jc w:val="both"/>
        <w:rPr>
          <w:rFonts w:ascii="Times New Roman" w:eastAsia="宋体" w:hAnsi="Times New Roman" w:cs="Times New Roman"/>
        </w:rPr>
      </w:pPr>
      <w:r w:rsidRPr="007078E2">
        <w:rPr>
          <w:rFonts w:ascii="Times New Roman" w:eastAsia="宋体" w:hAnsi="Times New Roman" w:cs="Times New Roman"/>
        </w:rPr>
        <w:t>Rödenbeck, C., Houweling, S., Gloor, M., and Heimann, M.: CO2 flux history 1982-2001 inferred from atmospheric data using a global inversion of atmospheric transport, Atmos. Chem. Phys., 3, 1919-1964, 2003.</w:t>
      </w:r>
    </w:p>
    <w:p w14:paraId="4174F9EC" w14:textId="23B00FCE" w:rsidR="006803B8" w:rsidRDefault="006803B8" w:rsidP="00415E57">
      <w:pPr>
        <w:spacing w:before="180"/>
        <w:jc w:val="both"/>
        <w:rPr>
          <w:rFonts w:ascii="Times New Roman" w:eastAsia="宋体" w:hAnsi="Times New Roman" w:cs="Times New Roman"/>
        </w:rPr>
      </w:pPr>
      <w:r w:rsidRPr="006803B8">
        <w:rPr>
          <w:rFonts w:ascii="Times New Roman" w:eastAsia="宋体" w:hAnsi="Times New Roman" w:cs="Times New Roman"/>
        </w:rPr>
        <w:t>Running, S. W., Nemani, R. R., Heinsch, F. A., Zhao, M., Reeves, M., and Hashimoto, H.: A continuous satellite-derived measure of global terrestrial primary production, BioScience, 54, 547-560, http://doi.org/10.1641/0006-3568(2004)054[0547:ACSMOG]2.0.CO;2, 2004.</w:t>
      </w:r>
    </w:p>
    <w:p w14:paraId="763759D3" w14:textId="68969BEF" w:rsidR="00420C3A" w:rsidRDefault="00420C3A" w:rsidP="00415E57">
      <w:pPr>
        <w:spacing w:before="180"/>
        <w:jc w:val="both"/>
        <w:rPr>
          <w:rFonts w:ascii="Times New Roman" w:eastAsia="宋体" w:hAnsi="Times New Roman" w:cs="Times New Roman"/>
        </w:rPr>
      </w:pPr>
      <w:r w:rsidRPr="00420C3A">
        <w:rPr>
          <w:rFonts w:ascii="Times New Roman" w:eastAsia="宋体" w:hAnsi="Times New Roman" w:cs="Times New Roman"/>
        </w:rPr>
        <w:t>Saatchi, S. S., Harris, N. L., Brown, S., Lefsky, M., Mitchard, E. T., Salas, W., Zutta, B. R., Buermann, W., Lewis, S. L., Hagen, S., Petrova, S., White, L., Silman, M., Morel, A.: Benchmark map of forest carbon stocks in tropical regions across three continents, Proc. Natl. Acad. Sci. U. S. A., 108, 9899-9904, http://doi.org/10.1073/pnas.1019576108, 2011.</w:t>
      </w:r>
    </w:p>
    <w:p w14:paraId="2DF4846D" w14:textId="5B3C09BE" w:rsidR="00420C3A" w:rsidRDefault="00420C3A" w:rsidP="00415E57">
      <w:pPr>
        <w:spacing w:before="180"/>
        <w:jc w:val="both"/>
        <w:rPr>
          <w:rFonts w:ascii="Times New Roman" w:eastAsia="宋体" w:hAnsi="Times New Roman" w:cs="Times New Roman"/>
        </w:rPr>
      </w:pPr>
      <w:r w:rsidRPr="00302077">
        <w:rPr>
          <w:rFonts w:ascii="Times New Roman" w:eastAsia="宋体" w:hAnsi="Times New Roman" w:cs="Times New Roman"/>
        </w:rPr>
        <w:t>Santoro, M., Eriksson, L. E., and Fransson, J. E.: Reviewing ALOS PALSAR backscatter observations for stem volume retrieval in Swedish forest, Remote Sens., 7, 4290-4317, http://doi.org/10.3390/rs70404290, 2015.</w:t>
      </w:r>
    </w:p>
    <w:p w14:paraId="4061FAFC" w14:textId="727734CC" w:rsidR="00A62159" w:rsidRDefault="00680020" w:rsidP="00415E57">
      <w:pPr>
        <w:spacing w:before="180"/>
        <w:jc w:val="both"/>
        <w:rPr>
          <w:rFonts w:ascii="Times New Roman" w:eastAsia="宋体" w:hAnsi="Times New Roman" w:cs="Times New Roman"/>
        </w:rPr>
      </w:pPr>
      <w:r>
        <w:rPr>
          <w:rFonts w:ascii="Times New Roman" w:eastAsia="宋体" w:hAnsi="Times New Roman" w:cs="Times New Roman"/>
        </w:rPr>
        <w:t>Shangguan, W., Dai, Y., Duan, Q., Liu, B., Yuan, H.:</w:t>
      </w:r>
      <w:r w:rsidR="00897973">
        <w:rPr>
          <w:rFonts w:ascii="Times New Roman" w:eastAsia="宋体" w:hAnsi="Times New Roman" w:cs="Times New Roman"/>
        </w:rPr>
        <w:t xml:space="preserve"> </w:t>
      </w:r>
      <w:r w:rsidR="00A62159" w:rsidRPr="00A62159">
        <w:rPr>
          <w:rFonts w:ascii="Times New Roman" w:eastAsia="宋体" w:hAnsi="Times New Roman" w:cs="Times New Roman"/>
        </w:rPr>
        <w:t>A global soil data</w:t>
      </w:r>
      <w:r w:rsidR="0004028C">
        <w:rPr>
          <w:rFonts w:ascii="Times New Roman" w:eastAsia="宋体" w:hAnsi="Times New Roman" w:cs="Times New Roman"/>
        </w:rPr>
        <w:t xml:space="preserve"> set for earth system modeling,</w:t>
      </w:r>
      <w:r w:rsidR="00A62159" w:rsidRPr="00A62159">
        <w:rPr>
          <w:rFonts w:ascii="Times New Roman" w:eastAsia="宋体" w:hAnsi="Times New Roman" w:cs="Times New Roman"/>
        </w:rPr>
        <w:t xml:space="preserve"> </w:t>
      </w:r>
      <w:r w:rsidR="00EF5525">
        <w:rPr>
          <w:rFonts w:ascii="Times New Roman" w:eastAsia="宋体" w:hAnsi="Times New Roman" w:cs="Times New Roman"/>
        </w:rPr>
        <w:t>J</w:t>
      </w:r>
      <w:r w:rsidR="002326F7">
        <w:rPr>
          <w:rFonts w:ascii="Times New Roman" w:eastAsia="宋体" w:hAnsi="Times New Roman" w:cs="Times New Roman"/>
        </w:rPr>
        <w:t>.</w:t>
      </w:r>
      <w:r w:rsidR="00EF5525">
        <w:rPr>
          <w:rFonts w:ascii="Times New Roman" w:eastAsia="宋体" w:hAnsi="Times New Roman" w:cs="Times New Roman"/>
        </w:rPr>
        <w:t xml:space="preserve"> </w:t>
      </w:r>
      <w:r w:rsidR="00EF5525" w:rsidRPr="00EF5525">
        <w:rPr>
          <w:rFonts w:ascii="Times New Roman" w:eastAsia="宋体" w:hAnsi="Times New Roman" w:cs="Times New Roman"/>
        </w:rPr>
        <w:t>Adv</w:t>
      </w:r>
      <w:r w:rsidR="002326F7">
        <w:rPr>
          <w:rFonts w:ascii="Times New Roman" w:eastAsia="宋体" w:hAnsi="Times New Roman" w:cs="Times New Roman"/>
        </w:rPr>
        <w:t>.</w:t>
      </w:r>
      <w:r w:rsidR="00EF5525" w:rsidRPr="00EF5525">
        <w:rPr>
          <w:rFonts w:ascii="Times New Roman" w:eastAsia="宋体" w:hAnsi="Times New Roman" w:cs="Times New Roman"/>
        </w:rPr>
        <w:t xml:space="preserve"> Model Earth Syst</w:t>
      </w:r>
      <w:r w:rsidR="002326F7">
        <w:rPr>
          <w:rFonts w:ascii="Times New Roman" w:eastAsia="宋体" w:hAnsi="Times New Roman" w:cs="Times New Roman"/>
        </w:rPr>
        <w:t>.</w:t>
      </w:r>
      <w:r w:rsidR="0004028C">
        <w:rPr>
          <w:rFonts w:ascii="Times New Roman" w:eastAsia="宋体" w:hAnsi="Times New Roman" w:cs="Times New Roman"/>
        </w:rPr>
        <w:t>,</w:t>
      </w:r>
      <w:r w:rsidR="00A62159" w:rsidRPr="00A62159">
        <w:rPr>
          <w:rFonts w:ascii="Times New Roman" w:eastAsia="宋体" w:hAnsi="Times New Roman" w:cs="Times New Roman"/>
        </w:rPr>
        <w:t xml:space="preserve"> 6.1</w:t>
      </w:r>
      <w:r w:rsidR="0004028C">
        <w:rPr>
          <w:rFonts w:ascii="Times New Roman" w:eastAsia="宋体" w:hAnsi="Times New Roman" w:cs="Times New Roman"/>
        </w:rPr>
        <w:t>,</w:t>
      </w:r>
      <w:r w:rsidR="00A62159" w:rsidRPr="00A62159">
        <w:rPr>
          <w:rFonts w:ascii="Times New Roman" w:eastAsia="宋体" w:hAnsi="Times New Roman" w:cs="Times New Roman"/>
        </w:rPr>
        <w:t xml:space="preserve"> </w:t>
      </w:r>
      <w:r w:rsidR="00ED6E89">
        <w:rPr>
          <w:rFonts w:ascii="Times New Roman" w:eastAsia="宋体" w:hAnsi="Times New Roman" w:cs="Times New Roman"/>
        </w:rPr>
        <w:t xml:space="preserve">249-263, </w:t>
      </w:r>
      <w:r w:rsidR="00ED6E89" w:rsidRPr="00ED6E89">
        <w:rPr>
          <w:rFonts w:ascii="Times New Roman" w:eastAsia="宋体" w:hAnsi="Times New Roman" w:cs="Times New Roman"/>
        </w:rPr>
        <w:t>https://doi.org/10.1002/2013MS000293</w:t>
      </w:r>
      <w:r w:rsidR="0004028C">
        <w:rPr>
          <w:rFonts w:ascii="Times New Roman" w:eastAsia="宋体" w:hAnsi="Times New Roman" w:cs="Times New Roman"/>
        </w:rPr>
        <w:t>, 2014.</w:t>
      </w:r>
    </w:p>
    <w:p w14:paraId="154E8065" w14:textId="7E5B9B8A" w:rsidR="00350087" w:rsidRDefault="00350087" w:rsidP="00415E57">
      <w:pPr>
        <w:spacing w:before="180"/>
        <w:jc w:val="both"/>
        <w:rPr>
          <w:rFonts w:ascii="Times New Roman" w:eastAsia="宋体" w:hAnsi="Times New Roman" w:cs="Times New Roman"/>
        </w:rPr>
      </w:pPr>
      <w:r w:rsidRPr="00350087">
        <w:rPr>
          <w:rFonts w:ascii="Times New Roman" w:eastAsia="宋体" w:hAnsi="Times New Roman" w:cs="Times New Roman"/>
        </w:rPr>
        <w:t>Smith, W. K., Reed, S. C., Cleveland, C. C., Ballantyne, A. P., Anderegg, W. R., Wieder, W. R., Liu, Y. Y., and Running, S. W.: Large divergence of satellite and Earth system model estimates of global terrestrial CO2 fertilization, Nat. Clim. Chang., 6, 306-310, http://doi.org/10.1038/NCLIMATE2879, 2016.</w:t>
      </w:r>
    </w:p>
    <w:p w14:paraId="2712C9F5" w14:textId="561BA609" w:rsidR="00A3606E" w:rsidRDefault="00A3606E" w:rsidP="00415E57">
      <w:pPr>
        <w:spacing w:before="180"/>
        <w:jc w:val="both"/>
        <w:rPr>
          <w:rFonts w:ascii="Times New Roman" w:eastAsia="宋体" w:hAnsi="Times New Roman" w:cs="Times New Roman"/>
        </w:rPr>
      </w:pPr>
      <w:r w:rsidRPr="00A3606E">
        <w:rPr>
          <w:rFonts w:ascii="Times New Roman" w:eastAsia="宋体" w:hAnsi="Times New Roman" w:cs="Times New Roman"/>
        </w:rPr>
        <w:t>Stephens, B. B., Gurney, K. R., Tans, P. P., Sweeney, C., Pe- ters, W., Bruhwiler, L., Ciais, P., Ramonet, M., Bousquet, P., Nakazawa, T., Aoki, S., Machida, T., Inoue, G., Vinnichenko, N., Lloyd, J., Jordan, A., Heimann, M., Shibistova, O., Langen- felds, R. L., Steele, L. P., Francey, R. J., and Denning, A. S.: Weak northern and strong tropical land carbon uptake from ver- tical profiles of atmospheric CO2, Science, 316, 1732–1735, , http://doi.org/10.1126/science.1137004, 2007.</w:t>
      </w:r>
    </w:p>
    <w:p w14:paraId="5D819CC8" w14:textId="0B11AF51" w:rsidR="0048526C" w:rsidRDefault="0048526C" w:rsidP="00415E57">
      <w:pPr>
        <w:spacing w:before="180"/>
        <w:jc w:val="both"/>
        <w:rPr>
          <w:rFonts w:ascii="Times New Roman" w:eastAsia="宋体" w:hAnsi="Times New Roman" w:cs="Times New Roman"/>
        </w:rPr>
      </w:pPr>
      <w:r w:rsidRPr="0048526C">
        <w:rPr>
          <w:rFonts w:ascii="Times New Roman" w:eastAsia="宋体" w:hAnsi="Times New Roman" w:cs="Times New Roman"/>
        </w:rPr>
        <w:t>Sullivan, B. W., Smith, W. K., Townsend, A. R., Nasto, M. K., Reed, S. C., Chazdon, R. L., and Cleveland, C. C.: Spatially robust estimates of biological nitrogen (N) fixation imply substantial human alteration of the tropical N cycle, Proc. Natl. Acad. Sci. U. S. A., 111, 8101-8106, http://doi.org/10.1073/pnas.1320646111, 2014.</w:t>
      </w:r>
    </w:p>
    <w:p w14:paraId="66FA4C58" w14:textId="7DB92F20" w:rsidR="003F463F" w:rsidRDefault="003F463F" w:rsidP="00415E57">
      <w:pPr>
        <w:spacing w:before="180"/>
        <w:jc w:val="both"/>
        <w:rPr>
          <w:rFonts w:ascii="Times New Roman" w:eastAsia="宋体" w:hAnsi="Times New Roman" w:cs="Times New Roman"/>
        </w:rPr>
      </w:pPr>
      <w:r w:rsidRPr="003F463F">
        <w:rPr>
          <w:rFonts w:ascii="Times New Roman" w:eastAsia="宋体" w:hAnsi="Times New Roman" w:cs="Times New Roman"/>
        </w:rPr>
        <w:t>Sun, Y., Goll, D. S., Ciais, P., Peng, S., Margalef, O., Asensio, D., Sardans, J., and Peñuelas, J.: Spatial pattern and environmental drivers of acid phosphatase activity in Europe, Front. Big Data, http://doi.org/10.3389/fdata.2019.00051, 2020.</w:t>
      </w:r>
    </w:p>
    <w:p w14:paraId="3211742B" w14:textId="48D51CD3" w:rsidR="00761F4E" w:rsidRDefault="00761F4E" w:rsidP="00415E57">
      <w:pPr>
        <w:spacing w:before="180"/>
        <w:jc w:val="both"/>
        <w:rPr>
          <w:rFonts w:ascii="Times New Roman" w:eastAsia="宋体" w:hAnsi="Times New Roman" w:cs="Times New Roman"/>
        </w:rPr>
      </w:pPr>
      <w:r w:rsidRPr="00761F4E">
        <w:rPr>
          <w:rFonts w:ascii="Times New Roman" w:eastAsia="宋体" w:hAnsi="Times New Roman" w:cs="Times New Roman"/>
        </w:rPr>
        <w:lastRenderedPageBreak/>
        <w:t>Tum, M., Zeidler, J., Günther, K. P., and Esch, T.: Global NPP and straw bioenergy trends for 2000–2014, Biomass Bioenerg., 90, 230-236, http://doi.org/10.1016/j.biombioe.2016.03.040, 2016.</w:t>
      </w:r>
    </w:p>
    <w:p w14:paraId="57EC1A4E" w14:textId="148B6346" w:rsidR="00801E4E" w:rsidRDefault="00801E4E" w:rsidP="00415E57">
      <w:pPr>
        <w:spacing w:before="180"/>
        <w:jc w:val="both"/>
        <w:rPr>
          <w:rFonts w:ascii="Times New Roman" w:eastAsia="宋体" w:hAnsi="Times New Roman" w:cs="Times New Roman"/>
        </w:rPr>
      </w:pPr>
      <w:r w:rsidRPr="00801E4E">
        <w:rPr>
          <w:rFonts w:ascii="Times New Roman" w:eastAsia="宋体" w:hAnsi="Times New Roman" w:cs="Times New Roman"/>
        </w:rPr>
        <w:t>Turner, D. P., Ritts, W. D., Cohen, W. B., Gower, S. T., Running, S. W., Zhao, M., Costa, M. H., Kirschbaum, A. A., Ham, J. M., Saleska, S. R., and Ahl, D.: Evaluation of MODIS NPP and GPP products across multiple biomes, Remote Sens. Environ., 102, 282-292, http://doi.org/10.1016/j.rse.2006.02.017, 2006.</w:t>
      </w:r>
    </w:p>
    <w:p w14:paraId="590173CB" w14:textId="12100316" w:rsidR="00A3606E" w:rsidRDefault="00A3606E" w:rsidP="00415E57">
      <w:pPr>
        <w:spacing w:before="180"/>
        <w:jc w:val="both"/>
        <w:rPr>
          <w:rFonts w:ascii="Times New Roman" w:eastAsia="宋体" w:hAnsi="Times New Roman" w:cs="Times New Roman"/>
        </w:rPr>
      </w:pPr>
      <w:r w:rsidRPr="00A3606E">
        <w:rPr>
          <w:rFonts w:ascii="Times New Roman" w:eastAsia="宋体" w:hAnsi="Times New Roman" w:cs="Times New Roman"/>
        </w:rPr>
        <w:t>van der Laan-Luijkx IT, van der Velde IR, van der Veen E, Tsuruta A, Stanislawska K, Babenhauserheide A, Zhang HF, Liu Y, He W, Chen H, Masarie KA, Krol MC, and Peters W: The CarbonTracker Data Assimilation Shell (CTDAS) v1. 0: implementation and global carbon balance 2001-2015, Geosci. Model Dev., 10, 2785-2800, http://doi.org/10.5194/gmd-10-2785-2017, 2017.</w:t>
      </w:r>
    </w:p>
    <w:p w14:paraId="11DA2CAF" w14:textId="616146F7" w:rsidR="00D517A5" w:rsidRDefault="00D517A5" w:rsidP="00415E57">
      <w:pPr>
        <w:spacing w:before="180"/>
        <w:jc w:val="both"/>
        <w:rPr>
          <w:rFonts w:ascii="Times New Roman" w:eastAsia="宋体" w:hAnsi="Times New Roman" w:cs="Times New Roman"/>
        </w:rPr>
      </w:pPr>
      <w:r w:rsidRPr="00D517A5">
        <w:rPr>
          <w:rFonts w:ascii="Times New Roman" w:eastAsia="宋体" w:hAnsi="Times New Roman" w:cs="Times New Roman"/>
        </w:rPr>
        <w:t>Vitousek, P. M., Menge, D. N., Reed, S. C., and Cleveland, C. C.: Biological nitrogen fixation: rates, patterns and ecological controls in terrestrial ecosystems, Philos. Trans. R. Soc. B-Biol. Sci., 368, 20130119, http://doi.org/10.1098/rstb.2013.0119, 2013.</w:t>
      </w:r>
    </w:p>
    <w:p w14:paraId="0A976CBC" w14:textId="01047D5C" w:rsidR="00991AF6" w:rsidRDefault="00991AF6" w:rsidP="00415E57">
      <w:pPr>
        <w:spacing w:before="180"/>
        <w:jc w:val="both"/>
        <w:rPr>
          <w:rFonts w:ascii="Times New Roman" w:eastAsia="宋体" w:hAnsi="Times New Roman" w:cs="Times New Roman"/>
        </w:rPr>
      </w:pPr>
      <w:r w:rsidRPr="00991AF6">
        <w:rPr>
          <w:rFonts w:ascii="Times New Roman" w:eastAsia="宋体" w:hAnsi="Times New Roman" w:cs="Times New Roman"/>
        </w:rPr>
        <w:t>Vuichard, N., Messina, P., Luyssaert, S., Guenet, B., Zaehle, S., Ghattas, J., Bastrikov, V., and Peylin, P.: Accounting for carbon and nitrogen interactions in the global terrestrial ecosystem model ORCHIDEE (trunk version, rev 4999): multi-scale evaluation of gross primary production, Geosci. Model Dev., 12, 4751-4779, http://doi.org/10.5194/gmd-12-4751-2019, 2019.</w:t>
      </w:r>
    </w:p>
    <w:p w14:paraId="6769B89A" w14:textId="0EB001AA" w:rsidR="008E33B6" w:rsidRDefault="008E33B6" w:rsidP="00415E57">
      <w:pPr>
        <w:spacing w:before="180"/>
        <w:jc w:val="both"/>
        <w:rPr>
          <w:rFonts w:ascii="Times New Roman" w:eastAsia="宋体" w:hAnsi="Times New Roman" w:cs="Times New Roman"/>
        </w:rPr>
      </w:pPr>
      <w:r w:rsidRPr="008E33B6">
        <w:rPr>
          <w:rFonts w:ascii="Times New Roman" w:eastAsia="宋体" w:hAnsi="Times New Roman" w:cs="Times New Roman"/>
        </w:rPr>
        <w:t>Wanek, W., Zezula, D., Wasner, D., Mooshammer, M., and Prommer, J.: A novel isotope pool dilution approach to quantify gross rates of key abiotic and biological processes in the soil phosphorus cycle, Biogeosciences, 16, 3047-3068, http://doi.org/10.5194/bg-16-3047-2019, 2019.</w:t>
      </w:r>
    </w:p>
    <w:p w14:paraId="7F757BF7" w14:textId="7A1174D2" w:rsidR="00F01C63" w:rsidRDefault="00F01C63" w:rsidP="00415E57">
      <w:pPr>
        <w:spacing w:before="180"/>
        <w:jc w:val="both"/>
        <w:rPr>
          <w:rFonts w:ascii="Times New Roman" w:eastAsia="宋体" w:hAnsi="Times New Roman" w:cs="Times New Roman"/>
        </w:rPr>
      </w:pPr>
      <w:r w:rsidRPr="00F01C63">
        <w:rPr>
          <w:rFonts w:ascii="Times New Roman" w:eastAsia="宋体" w:hAnsi="Times New Roman" w:cs="Times New Roman"/>
        </w:rPr>
        <w:t>Wang, Y., Law, R., and Pak, B.: A global model of carbon, nitrogen and phosphorus cycles for the terrestrial biosphere, Biogeosciences, 7, http://doi.org/10.5194/bg-7-2261-2010, 2010.</w:t>
      </w:r>
    </w:p>
    <w:p w14:paraId="24EF93CC" w14:textId="6014D55E" w:rsidR="001746F8" w:rsidRDefault="001746F8" w:rsidP="00415E57">
      <w:pPr>
        <w:spacing w:before="180"/>
        <w:jc w:val="both"/>
        <w:rPr>
          <w:rFonts w:ascii="Times New Roman" w:eastAsia="宋体" w:hAnsi="Times New Roman" w:cs="Times New Roman"/>
        </w:rPr>
      </w:pPr>
      <w:r w:rsidRPr="001746F8">
        <w:rPr>
          <w:rFonts w:ascii="Times New Roman" w:eastAsia="宋体" w:hAnsi="Times New Roman" w:cs="Times New Roman"/>
        </w:rPr>
        <w:t>Wang, Y. P., Houlton, B., and Field, C.: A model of biogeochemical cycles of carbon, nitrogen, and phosphorus including symbiotic nitrogen fixation and phosphatase production, Glob. Biogeochem. Cycle, 21, http://doi.org/10.1029/2006GB002797, 2007.</w:t>
      </w:r>
    </w:p>
    <w:p w14:paraId="3ECB96A5" w14:textId="5AF98818" w:rsidR="00F01C63" w:rsidRDefault="00F01C63" w:rsidP="00415E57">
      <w:pPr>
        <w:spacing w:before="180"/>
        <w:jc w:val="both"/>
        <w:rPr>
          <w:rFonts w:ascii="Times New Roman" w:eastAsia="宋体" w:hAnsi="Times New Roman" w:cs="Times New Roman"/>
        </w:rPr>
      </w:pPr>
      <w:r w:rsidRPr="00F01C63">
        <w:rPr>
          <w:rFonts w:ascii="Times New Roman" w:eastAsia="宋体" w:hAnsi="Times New Roman" w:cs="Times New Roman"/>
        </w:rPr>
        <w:t>Wang, Y. P., and Houlton, B. Z.: Nitrogen constraints on terrestrial carbon uptake: Implications for the global carbon</w:t>
      </w:r>
      <w:r w:rsidRPr="00F01C63">
        <w:t>‐</w:t>
      </w:r>
      <w:r w:rsidRPr="00F01C63">
        <w:rPr>
          <w:rFonts w:ascii="Times New Roman" w:eastAsia="宋体" w:hAnsi="Times New Roman" w:cs="Times New Roman"/>
        </w:rPr>
        <w:t>climate feedback, Geophys. Res. Lett., 36, http://doi.org/10.1029/2009GL041009, 2009.</w:t>
      </w:r>
    </w:p>
    <w:p w14:paraId="244EB566" w14:textId="3B43ACA3" w:rsidR="002D7105" w:rsidRDefault="002D7105" w:rsidP="00415E57">
      <w:pPr>
        <w:spacing w:before="180"/>
        <w:jc w:val="both"/>
        <w:rPr>
          <w:rFonts w:ascii="Times New Roman" w:eastAsia="宋体" w:hAnsi="Times New Roman" w:cs="Times New Roman"/>
        </w:rPr>
      </w:pPr>
      <w:r w:rsidRPr="002D7105">
        <w:rPr>
          <w:rFonts w:ascii="Times New Roman" w:eastAsia="宋体" w:hAnsi="Times New Roman" w:cs="Times New Roman"/>
        </w:rPr>
        <w:t>Wißkirchen, K., Tum, M., Günther, K., Niklaus, M., Eisfelder, C., and Knorr, W.: Quantifying the carbon uptake by vegetation for Europe on a 1km 2 resolution using a remote sensing driven vegetation model, Geosci. Model Dev., 6, http://doi.org/10.5194/gmd-6-1623-2013, 2013.</w:t>
      </w:r>
    </w:p>
    <w:p w14:paraId="42669EA7" w14:textId="398AD949" w:rsidR="0078122F" w:rsidRDefault="0078122F" w:rsidP="00415E57">
      <w:pPr>
        <w:spacing w:before="180"/>
        <w:jc w:val="both"/>
        <w:rPr>
          <w:rFonts w:ascii="Times New Roman" w:eastAsia="宋体" w:hAnsi="Times New Roman" w:cs="Times New Roman"/>
        </w:rPr>
      </w:pPr>
      <w:r w:rsidRPr="0078122F">
        <w:rPr>
          <w:rFonts w:ascii="Times New Roman" w:eastAsia="宋体" w:hAnsi="Times New Roman" w:cs="Times New Roman"/>
        </w:rPr>
        <w:t>Yang, X., Thornton, P., Ricciuto, D., and Post, W.: The role of phosphorus dynamics in tropical forests--a modeling study using CLM-CNP, Biogeosciences, 11, http://doi.org/10.5194/bg-11-1667-2014, 2014.</w:t>
      </w:r>
    </w:p>
    <w:p w14:paraId="3E2985D7" w14:textId="4D66C6E4" w:rsidR="00D517A5" w:rsidRDefault="00D517A5" w:rsidP="00415E57">
      <w:pPr>
        <w:spacing w:before="180"/>
        <w:jc w:val="both"/>
        <w:rPr>
          <w:rFonts w:ascii="Times New Roman" w:eastAsia="宋体" w:hAnsi="Times New Roman" w:cs="Times New Roman"/>
        </w:rPr>
      </w:pPr>
      <w:r w:rsidRPr="00D517A5">
        <w:rPr>
          <w:rFonts w:ascii="Times New Roman" w:eastAsia="宋体" w:hAnsi="Times New Roman" w:cs="Times New Roman"/>
        </w:rPr>
        <w:t>Zaehle, S., and Friend, A.: Carbon and nitrogen cycle dynamics in the O</w:t>
      </w:r>
      <w:r w:rsidRPr="00D517A5">
        <w:t>‐</w:t>
      </w:r>
      <w:r w:rsidRPr="00D517A5">
        <w:rPr>
          <w:rFonts w:ascii="Times New Roman" w:eastAsia="宋体" w:hAnsi="Times New Roman" w:cs="Times New Roman"/>
        </w:rPr>
        <w:t>CN land surface model: 1. Model description, site</w:t>
      </w:r>
      <w:r w:rsidRPr="00D517A5">
        <w:t>‐</w:t>
      </w:r>
      <w:r w:rsidRPr="00D517A5">
        <w:rPr>
          <w:rFonts w:ascii="Times New Roman" w:eastAsia="宋体" w:hAnsi="Times New Roman" w:cs="Times New Roman"/>
        </w:rPr>
        <w:t>scale evaluation, and sensitivity to parameter estimates, Glob. Biogeochem. Cycle, 24, http://doi.org/10.1029/2009GB003521, 2010.</w:t>
      </w:r>
    </w:p>
    <w:p w14:paraId="0CEBC048" w14:textId="45CA9A32" w:rsidR="00315C78" w:rsidRDefault="00315C78" w:rsidP="00415E57">
      <w:pPr>
        <w:spacing w:before="180"/>
        <w:jc w:val="both"/>
        <w:rPr>
          <w:rFonts w:ascii="Times New Roman" w:eastAsia="宋体" w:hAnsi="Times New Roman" w:cs="Times New Roman"/>
        </w:rPr>
      </w:pPr>
      <w:r w:rsidRPr="00315C78">
        <w:rPr>
          <w:rFonts w:ascii="Times New Roman" w:eastAsia="宋体" w:hAnsi="Times New Roman" w:cs="Times New Roman"/>
        </w:rPr>
        <w:lastRenderedPageBreak/>
        <w:t>Zhang, X., Davidson, E. A., Mauzerall, D. L., Searchinger, T. D., Dumas, P., and Shen, Y.: Managing nitrogen for sustainable development, Nature, 528, 51-59, http://doi.org/10.1038/nature15743, 2015.</w:t>
      </w:r>
    </w:p>
    <w:p w14:paraId="418F9227" w14:textId="2E589E94" w:rsidR="00E96DF1" w:rsidRDefault="00E96DF1" w:rsidP="00415E57">
      <w:pPr>
        <w:spacing w:before="180"/>
        <w:jc w:val="both"/>
        <w:rPr>
          <w:rFonts w:ascii="Times New Roman" w:eastAsia="宋体" w:hAnsi="Times New Roman" w:cs="Times New Roman"/>
        </w:rPr>
      </w:pPr>
      <w:r w:rsidRPr="00E96DF1">
        <w:rPr>
          <w:rFonts w:ascii="Times New Roman" w:eastAsia="宋体" w:hAnsi="Times New Roman" w:cs="Times New Roman"/>
        </w:rPr>
        <w:t>Zhao, M., Heinsch, F. A., Nemani, R. R., and Running, S. W.: Improvements of the MODIS terrestrial gross and net primary production global data set, Remote Sens. Environ., 95, 164-176, http://doi.org/10.1016/j.rse.2004.12.011, 2005.</w:t>
      </w:r>
    </w:p>
    <w:p w14:paraId="6963C4EF" w14:textId="01D8C1EE" w:rsidR="00C6258F" w:rsidRDefault="00C6258F" w:rsidP="00415E57">
      <w:pPr>
        <w:spacing w:before="180"/>
        <w:jc w:val="both"/>
        <w:rPr>
          <w:rFonts w:ascii="Times New Roman" w:eastAsia="宋体" w:hAnsi="Times New Roman" w:cs="Times New Roman"/>
        </w:rPr>
      </w:pPr>
      <w:r w:rsidRPr="00C6258F">
        <w:rPr>
          <w:rFonts w:ascii="Times New Roman" w:eastAsia="宋体" w:hAnsi="Times New Roman" w:cs="Times New Roman"/>
        </w:rPr>
        <w:t>Zhu, Z., Bi, J., Pan, Y., Ganguly, S., Anav, A., Xu, L., Samanta, A., Piao, S., Nemani, R. R., and Myneni, R. B.: Global data sets of vegetation leaf area index (LAI) 3g and fraction of photosynthetically active radiation (FPAR) 3g derived from global inventory modeling and mapping studies (GIMMS) normalized difference vegetation index (NDVI3g) for the period 1981 to 2011, Remote Sens. , 5, 927-948, http://doi.org/10.3390/rs5020927, 2013.</w:t>
      </w:r>
    </w:p>
    <w:p w14:paraId="7C89CFA3" w14:textId="77777777" w:rsidR="00F647A0" w:rsidRDefault="00F647A0" w:rsidP="00415E57">
      <w:pPr>
        <w:spacing w:before="180"/>
        <w:jc w:val="both"/>
        <w:rPr>
          <w:rFonts w:ascii="Times New Roman" w:eastAsia="宋体" w:hAnsi="Times New Roman" w:cs="Times New Roman"/>
        </w:rPr>
      </w:pPr>
    </w:p>
    <w:p w14:paraId="3CFFFF2C" w14:textId="77777777" w:rsidR="00D114E3" w:rsidRPr="00DB6C91" w:rsidRDefault="00D114E3" w:rsidP="00DB6C91">
      <w:pPr>
        <w:spacing w:before="180"/>
        <w:jc w:val="both"/>
        <w:rPr>
          <w:rFonts w:ascii="Times New Roman" w:eastAsia="宋体" w:hAnsi="Times New Roman" w:cs="Times New Roman"/>
          <w:color w:val="000000"/>
        </w:rPr>
      </w:pPr>
    </w:p>
    <w:p w14:paraId="53A8F1FF" w14:textId="77777777" w:rsidR="00C85168" w:rsidRDefault="00C85168" w:rsidP="00981695">
      <w:pPr>
        <w:spacing w:line="360" w:lineRule="auto"/>
        <w:jc w:val="both"/>
        <w:rPr>
          <w:rFonts w:ascii="Times New Roman" w:eastAsia="Times New Roman" w:hAnsi="Times New Roman" w:cs="Times New Roman"/>
          <w:b/>
          <w:color w:val="000000"/>
          <w:sz w:val="22"/>
          <w:szCs w:val="22"/>
        </w:rPr>
      </w:pPr>
    </w:p>
    <w:p w14:paraId="7EA95D0C" w14:textId="77777777" w:rsidR="00757ABE" w:rsidRDefault="00757ABE">
      <w:pPr>
        <w:rPr>
          <w:rFonts w:ascii="Times New Roman" w:eastAsia="Times New Roman" w:hAnsi="Times New Roman" w:cs="Times New Roman"/>
          <w:b/>
          <w:color w:val="000000"/>
          <w:sz w:val="22"/>
          <w:szCs w:val="22"/>
        </w:rPr>
      </w:pPr>
      <w:r>
        <w:rPr>
          <w:rFonts w:ascii="Times New Roman" w:eastAsia="Times New Roman" w:hAnsi="Times New Roman" w:cs="Times New Roman"/>
          <w:b/>
          <w:color w:val="000000"/>
          <w:sz w:val="22"/>
          <w:szCs w:val="22"/>
        </w:rPr>
        <w:br w:type="page"/>
      </w:r>
    </w:p>
    <w:p w14:paraId="0B3A5365" w14:textId="5030E40B" w:rsidR="00981695" w:rsidRDefault="00981695" w:rsidP="009A3670">
      <w:pPr>
        <w:jc w:val="both"/>
        <w:rPr>
          <w:rFonts w:ascii="Times New Roman" w:eastAsia="Times New Roman" w:hAnsi="Times New Roman" w:cs="Times New Roman"/>
          <w:color w:val="000000"/>
          <w:sz w:val="22"/>
          <w:szCs w:val="22"/>
        </w:rPr>
      </w:pPr>
      <w:r>
        <w:rPr>
          <w:rFonts w:ascii="Times New Roman" w:eastAsia="Times New Roman" w:hAnsi="Times New Roman" w:cs="Times New Roman"/>
          <w:b/>
          <w:color w:val="000000"/>
          <w:sz w:val="22"/>
          <w:szCs w:val="22"/>
        </w:rPr>
        <w:lastRenderedPageBreak/>
        <w:t>Table S1</w:t>
      </w:r>
      <w:r>
        <w:rPr>
          <w:rFonts w:ascii="Times New Roman" w:eastAsia="Times New Roman" w:hAnsi="Times New Roman" w:cs="Times New Roman"/>
          <w:color w:val="000000"/>
          <w:sz w:val="22"/>
          <w:szCs w:val="22"/>
        </w:rPr>
        <w:t xml:space="preserve"> </w:t>
      </w:r>
      <w:r>
        <w:rPr>
          <w:rFonts w:ascii="Times New Roman" w:eastAsia="Times New Roman" w:hAnsi="Times New Roman" w:cs="Times New Roman"/>
          <w:color w:val="000000"/>
        </w:rPr>
        <w:t>Plant functional type (PFT) specific leaf N:P ratio (gN g</w:t>
      </w:r>
      <w:r>
        <w:rPr>
          <w:rFonts w:ascii="Times New Roman" w:eastAsia="Times New Roman" w:hAnsi="Times New Roman" w:cs="Times New Roman"/>
          <w:color w:val="000000"/>
          <w:vertAlign w:val="superscript"/>
        </w:rPr>
        <w:t>-1</w:t>
      </w:r>
      <w:r>
        <w:rPr>
          <w:rFonts w:ascii="Times New Roman" w:eastAsia="Times New Roman" w:hAnsi="Times New Roman" w:cs="Times New Roman"/>
          <w:color w:val="000000"/>
        </w:rPr>
        <w:t>P )</w:t>
      </w:r>
      <w:r>
        <w:rPr>
          <w:rFonts w:ascii="Times New Roman" w:eastAsia="Times New Roman" w:hAnsi="Times New Roman" w:cs="Times New Roman"/>
          <w:b/>
          <w:color w:val="000000"/>
        </w:rPr>
        <w:t xml:space="preserve"> </w:t>
      </w:r>
      <w:r>
        <w:rPr>
          <w:rFonts w:ascii="Times New Roman" w:eastAsia="Times New Roman" w:hAnsi="Times New Roman" w:cs="Times New Roman"/>
          <w:color w:val="000000"/>
        </w:rPr>
        <w:t>for ORCHIDEE v1.1 and v1.2: tropica</w:t>
      </w:r>
      <w:r w:rsidR="00AD033D">
        <w:rPr>
          <w:rFonts w:ascii="Times New Roman" w:eastAsia="Times New Roman" w:hAnsi="Times New Roman" w:cs="Times New Roman"/>
          <w:color w:val="000000"/>
        </w:rPr>
        <w:t>l evergreen broadleaf forest (TR</w:t>
      </w:r>
      <w:r>
        <w:rPr>
          <w:rFonts w:ascii="Times New Roman" w:eastAsia="Times New Roman" w:hAnsi="Times New Roman" w:cs="Times New Roman"/>
          <w:color w:val="000000"/>
        </w:rPr>
        <w:t>EBF), tropical raingree</w:t>
      </w:r>
      <w:r w:rsidR="00AD033D">
        <w:rPr>
          <w:rFonts w:ascii="Times New Roman" w:eastAsia="Times New Roman" w:hAnsi="Times New Roman" w:cs="Times New Roman"/>
          <w:color w:val="000000"/>
        </w:rPr>
        <w:t>n broadleaf forest (TR</w:t>
      </w:r>
      <w:r>
        <w:rPr>
          <w:rFonts w:ascii="Times New Roman" w:eastAsia="Times New Roman" w:hAnsi="Times New Roman" w:cs="Times New Roman"/>
          <w:color w:val="000000"/>
        </w:rPr>
        <w:t>DBF), temperate</w:t>
      </w:r>
      <w:r w:rsidR="00AD033D">
        <w:rPr>
          <w:rFonts w:ascii="Times New Roman" w:eastAsia="Times New Roman" w:hAnsi="Times New Roman" w:cs="Times New Roman"/>
          <w:color w:val="000000"/>
        </w:rPr>
        <w:t xml:space="preserve"> evergreen needleleaf forest (TE</w:t>
      </w:r>
      <w:r>
        <w:rPr>
          <w:rFonts w:ascii="Times New Roman" w:eastAsia="Times New Roman" w:hAnsi="Times New Roman" w:cs="Times New Roman"/>
          <w:color w:val="000000"/>
        </w:rPr>
        <w:t>ENF), temperat</w:t>
      </w:r>
      <w:r w:rsidR="00AD033D">
        <w:rPr>
          <w:rFonts w:ascii="Times New Roman" w:eastAsia="Times New Roman" w:hAnsi="Times New Roman" w:cs="Times New Roman"/>
          <w:color w:val="000000"/>
        </w:rPr>
        <w:t>e evergreen broadleaf forest (TE</w:t>
      </w:r>
      <w:r>
        <w:rPr>
          <w:rFonts w:ascii="Times New Roman" w:eastAsia="Times New Roman" w:hAnsi="Times New Roman" w:cs="Times New Roman"/>
          <w:color w:val="000000"/>
        </w:rPr>
        <w:t xml:space="preserve">EBF), temperate </w:t>
      </w:r>
      <w:r w:rsidR="00AD033D">
        <w:rPr>
          <w:rFonts w:ascii="Times New Roman" w:eastAsia="Times New Roman" w:hAnsi="Times New Roman" w:cs="Times New Roman"/>
          <w:color w:val="000000"/>
        </w:rPr>
        <w:t>summergreen broadleaf forest (TE</w:t>
      </w:r>
      <w:r>
        <w:rPr>
          <w:rFonts w:ascii="Times New Roman" w:eastAsia="Times New Roman" w:hAnsi="Times New Roman" w:cs="Times New Roman"/>
          <w:color w:val="000000"/>
        </w:rPr>
        <w:t>DBF), boreal</w:t>
      </w:r>
      <w:r w:rsidR="00AD033D">
        <w:rPr>
          <w:rFonts w:ascii="Times New Roman" w:eastAsia="Times New Roman" w:hAnsi="Times New Roman" w:cs="Times New Roman"/>
          <w:color w:val="000000"/>
        </w:rPr>
        <w:t xml:space="preserve"> evergreen needleleaf forest (BO</w:t>
      </w:r>
      <w:r>
        <w:rPr>
          <w:rFonts w:ascii="Times New Roman" w:eastAsia="Times New Roman" w:hAnsi="Times New Roman" w:cs="Times New Roman"/>
          <w:color w:val="000000"/>
        </w:rPr>
        <w:t xml:space="preserve">ENF), boreal </w:t>
      </w:r>
      <w:r w:rsidR="00AD033D">
        <w:rPr>
          <w:rFonts w:ascii="Times New Roman" w:eastAsia="Times New Roman" w:hAnsi="Times New Roman" w:cs="Times New Roman"/>
          <w:color w:val="000000"/>
        </w:rPr>
        <w:t>summergreen broadleaf forest (BO</w:t>
      </w:r>
      <w:r>
        <w:rPr>
          <w:rFonts w:ascii="Times New Roman" w:eastAsia="Times New Roman" w:hAnsi="Times New Roman" w:cs="Times New Roman"/>
          <w:color w:val="000000"/>
        </w:rPr>
        <w:t>DBF), boreal s</w:t>
      </w:r>
      <w:r w:rsidR="00AD033D">
        <w:rPr>
          <w:rFonts w:ascii="Times New Roman" w:eastAsia="Times New Roman" w:hAnsi="Times New Roman" w:cs="Times New Roman"/>
          <w:color w:val="000000"/>
        </w:rPr>
        <w:t>ummergreen needleleaf forest (BO</w:t>
      </w:r>
      <w:r>
        <w:rPr>
          <w:rFonts w:ascii="Times New Roman" w:eastAsia="Times New Roman" w:hAnsi="Times New Roman" w:cs="Times New Roman"/>
          <w:color w:val="000000"/>
        </w:rPr>
        <w:t>DNF), C3 grassland (C3G), C4 grassland (C4G), C3 cropland (C3C) and C4 cropland (C4C).</w:t>
      </w:r>
      <w:r>
        <w:rPr>
          <w:rFonts w:ascii="Times New Roman" w:eastAsia="Times New Roman" w:hAnsi="Times New Roman" w:cs="Times New Roman"/>
          <w:color w:val="000000"/>
          <w:sz w:val="22"/>
          <w:szCs w:val="22"/>
        </w:rPr>
        <w:t xml:space="preserve"> </w:t>
      </w:r>
    </w:p>
    <w:p w14:paraId="579E119F" w14:textId="77777777" w:rsidR="00981695" w:rsidRDefault="00981695" w:rsidP="00981695">
      <w:pPr>
        <w:spacing w:line="360" w:lineRule="auto"/>
        <w:jc w:val="both"/>
        <w:rPr>
          <w:rFonts w:ascii="Times New Roman" w:eastAsia="Times New Roman" w:hAnsi="Times New Roman" w:cs="Times New Roman"/>
          <w:color w:val="000000"/>
          <w:sz w:val="22"/>
          <w:szCs w:val="22"/>
        </w:rPr>
      </w:pPr>
    </w:p>
    <w:tbl>
      <w:tblPr>
        <w:tblW w:w="10491" w:type="dxa"/>
        <w:tblBorders>
          <w:top w:val="single" w:sz="4" w:space="0" w:color="7F7F7F"/>
          <w:left w:val="single" w:sz="4" w:space="0" w:color="000000"/>
          <w:bottom w:val="single" w:sz="4" w:space="0" w:color="000000"/>
          <w:right w:val="single" w:sz="4" w:space="0" w:color="000000"/>
          <w:insideH w:val="single" w:sz="4" w:space="0" w:color="7F7F7F"/>
          <w:insideV w:val="single" w:sz="4" w:space="0" w:color="000000"/>
        </w:tblBorders>
        <w:tblLayout w:type="fixed"/>
        <w:tblLook w:val="04A0" w:firstRow="1" w:lastRow="0" w:firstColumn="1" w:lastColumn="0" w:noHBand="0" w:noVBand="1"/>
      </w:tblPr>
      <w:tblGrid>
        <w:gridCol w:w="1560"/>
        <w:gridCol w:w="567"/>
        <w:gridCol w:w="708"/>
        <w:gridCol w:w="709"/>
        <w:gridCol w:w="709"/>
        <w:gridCol w:w="709"/>
        <w:gridCol w:w="708"/>
        <w:gridCol w:w="732"/>
        <w:gridCol w:w="828"/>
        <w:gridCol w:w="567"/>
        <w:gridCol w:w="567"/>
        <w:gridCol w:w="567"/>
        <w:gridCol w:w="567"/>
        <w:gridCol w:w="950"/>
        <w:gridCol w:w="43"/>
      </w:tblGrid>
      <w:tr w:rsidR="009A3670" w14:paraId="131881FE" w14:textId="77777777" w:rsidTr="000E64FD">
        <w:trPr>
          <w:trHeight w:val="315"/>
        </w:trPr>
        <w:tc>
          <w:tcPr>
            <w:tcW w:w="1560" w:type="dxa"/>
            <w:tcBorders>
              <w:top w:val="single" w:sz="12" w:space="0" w:color="auto"/>
              <w:left w:val="nil"/>
              <w:bottom w:val="single" w:sz="12" w:space="0" w:color="auto"/>
              <w:right w:val="nil"/>
            </w:tcBorders>
          </w:tcPr>
          <w:p w14:paraId="6616E8FC" w14:textId="77777777" w:rsidR="00981695" w:rsidRDefault="00981695" w:rsidP="00655228">
            <w:pPr>
              <w:spacing w:line="360" w:lineRule="auto"/>
              <w:rPr>
                <w:rFonts w:ascii="Times New Roman" w:eastAsia="Times New Roman" w:hAnsi="Times New Roman" w:cs="Times New Roman"/>
                <w:color w:val="000000"/>
                <w:sz w:val="16"/>
                <w:szCs w:val="16"/>
              </w:rPr>
            </w:pPr>
          </w:p>
        </w:tc>
        <w:tc>
          <w:tcPr>
            <w:tcW w:w="567" w:type="dxa"/>
            <w:tcBorders>
              <w:top w:val="single" w:sz="12" w:space="0" w:color="auto"/>
              <w:left w:val="nil"/>
              <w:bottom w:val="single" w:sz="12" w:space="0" w:color="auto"/>
              <w:right w:val="nil"/>
            </w:tcBorders>
          </w:tcPr>
          <w:p w14:paraId="17F4FECA"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b/>
                <w:color w:val="000000"/>
                <w:sz w:val="15"/>
                <w:szCs w:val="15"/>
              </w:rPr>
              <w:t>TREBF</w:t>
            </w:r>
          </w:p>
        </w:tc>
        <w:tc>
          <w:tcPr>
            <w:tcW w:w="708" w:type="dxa"/>
            <w:tcBorders>
              <w:top w:val="single" w:sz="12" w:space="0" w:color="auto"/>
              <w:left w:val="nil"/>
              <w:bottom w:val="single" w:sz="12" w:space="0" w:color="auto"/>
              <w:right w:val="nil"/>
            </w:tcBorders>
          </w:tcPr>
          <w:p w14:paraId="2CDF4CCC"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b/>
                <w:color w:val="000000"/>
                <w:sz w:val="15"/>
                <w:szCs w:val="15"/>
              </w:rPr>
              <w:t>TRDBF</w:t>
            </w:r>
          </w:p>
        </w:tc>
        <w:tc>
          <w:tcPr>
            <w:tcW w:w="709" w:type="dxa"/>
            <w:tcBorders>
              <w:top w:val="single" w:sz="12" w:space="0" w:color="auto"/>
              <w:left w:val="nil"/>
              <w:bottom w:val="single" w:sz="12" w:space="0" w:color="auto"/>
              <w:right w:val="nil"/>
            </w:tcBorders>
          </w:tcPr>
          <w:p w14:paraId="0D91F78B"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b/>
                <w:color w:val="000000"/>
                <w:sz w:val="15"/>
                <w:szCs w:val="15"/>
              </w:rPr>
              <w:t>TRENF</w:t>
            </w:r>
          </w:p>
        </w:tc>
        <w:tc>
          <w:tcPr>
            <w:tcW w:w="709" w:type="dxa"/>
            <w:tcBorders>
              <w:top w:val="single" w:sz="12" w:space="0" w:color="auto"/>
              <w:left w:val="nil"/>
              <w:bottom w:val="single" w:sz="12" w:space="0" w:color="auto"/>
              <w:right w:val="nil"/>
            </w:tcBorders>
          </w:tcPr>
          <w:p w14:paraId="33D24346"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b/>
                <w:color w:val="000000"/>
                <w:sz w:val="15"/>
                <w:szCs w:val="15"/>
              </w:rPr>
              <w:t>TREBF</w:t>
            </w:r>
          </w:p>
        </w:tc>
        <w:tc>
          <w:tcPr>
            <w:tcW w:w="709" w:type="dxa"/>
            <w:tcBorders>
              <w:top w:val="single" w:sz="12" w:space="0" w:color="auto"/>
              <w:left w:val="nil"/>
              <w:bottom w:val="single" w:sz="12" w:space="0" w:color="auto"/>
              <w:right w:val="nil"/>
            </w:tcBorders>
          </w:tcPr>
          <w:p w14:paraId="246B9B9D"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b/>
                <w:color w:val="000000"/>
                <w:sz w:val="15"/>
                <w:szCs w:val="15"/>
              </w:rPr>
              <w:t>TRDBF</w:t>
            </w:r>
          </w:p>
        </w:tc>
        <w:tc>
          <w:tcPr>
            <w:tcW w:w="708" w:type="dxa"/>
            <w:tcBorders>
              <w:top w:val="single" w:sz="12" w:space="0" w:color="auto"/>
              <w:left w:val="nil"/>
              <w:bottom w:val="single" w:sz="12" w:space="0" w:color="auto"/>
              <w:right w:val="nil"/>
            </w:tcBorders>
          </w:tcPr>
          <w:p w14:paraId="4F3D9EF1"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b/>
                <w:color w:val="000000"/>
                <w:sz w:val="15"/>
                <w:szCs w:val="15"/>
              </w:rPr>
              <w:t>BOENF</w:t>
            </w:r>
          </w:p>
        </w:tc>
        <w:tc>
          <w:tcPr>
            <w:tcW w:w="732" w:type="dxa"/>
            <w:tcBorders>
              <w:top w:val="single" w:sz="12" w:space="0" w:color="auto"/>
              <w:left w:val="nil"/>
              <w:bottom w:val="single" w:sz="12" w:space="0" w:color="auto"/>
              <w:right w:val="nil"/>
            </w:tcBorders>
          </w:tcPr>
          <w:p w14:paraId="0A075347"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b/>
                <w:color w:val="000000"/>
                <w:sz w:val="15"/>
                <w:szCs w:val="15"/>
              </w:rPr>
              <w:t>BODNF</w:t>
            </w:r>
          </w:p>
        </w:tc>
        <w:tc>
          <w:tcPr>
            <w:tcW w:w="828" w:type="dxa"/>
            <w:tcBorders>
              <w:top w:val="single" w:sz="12" w:space="0" w:color="auto"/>
              <w:left w:val="nil"/>
              <w:bottom w:val="single" w:sz="12" w:space="0" w:color="auto"/>
              <w:right w:val="nil"/>
            </w:tcBorders>
          </w:tcPr>
          <w:p w14:paraId="56128875"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b/>
                <w:color w:val="000000"/>
                <w:sz w:val="15"/>
                <w:szCs w:val="15"/>
              </w:rPr>
              <w:t>BODBF</w:t>
            </w:r>
          </w:p>
        </w:tc>
        <w:tc>
          <w:tcPr>
            <w:tcW w:w="567" w:type="dxa"/>
            <w:tcBorders>
              <w:top w:val="single" w:sz="12" w:space="0" w:color="auto"/>
              <w:left w:val="nil"/>
              <w:bottom w:val="single" w:sz="12" w:space="0" w:color="auto"/>
              <w:right w:val="nil"/>
            </w:tcBorders>
          </w:tcPr>
          <w:p w14:paraId="2009DD27"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b/>
                <w:color w:val="000000"/>
                <w:sz w:val="15"/>
                <w:szCs w:val="15"/>
              </w:rPr>
              <w:t>C3G</w:t>
            </w:r>
          </w:p>
        </w:tc>
        <w:tc>
          <w:tcPr>
            <w:tcW w:w="567" w:type="dxa"/>
            <w:tcBorders>
              <w:top w:val="single" w:sz="12" w:space="0" w:color="auto"/>
              <w:left w:val="nil"/>
              <w:bottom w:val="single" w:sz="12" w:space="0" w:color="auto"/>
              <w:right w:val="nil"/>
            </w:tcBorders>
          </w:tcPr>
          <w:p w14:paraId="3575E32E"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b/>
                <w:color w:val="000000"/>
                <w:sz w:val="15"/>
                <w:szCs w:val="15"/>
              </w:rPr>
              <w:t>C4G</w:t>
            </w:r>
          </w:p>
        </w:tc>
        <w:tc>
          <w:tcPr>
            <w:tcW w:w="567" w:type="dxa"/>
            <w:tcBorders>
              <w:top w:val="single" w:sz="12" w:space="0" w:color="auto"/>
              <w:left w:val="nil"/>
              <w:bottom w:val="single" w:sz="12" w:space="0" w:color="auto"/>
              <w:right w:val="nil"/>
            </w:tcBorders>
          </w:tcPr>
          <w:p w14:paraId="06993687" w14:textId="77777777" w:rsidR="00981695" w:rsidRDefault="00981695" w:rsidP="00655228">
            <w:pPr>
              <w:spacing w:line="360" w:lineRule="auto"/>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C3C</w:t>
            </w:r>
          </w:p>
        </w:tc>
        <w:tc>
          <w:tcPr>
            <w:tcW w:w="567" w:type="dxa"/>
            <w:tcBorders>
              <w:top w:val="single" w:sz="12" w:space="0" w:color="auto"/>
              <w:left w:val="nil"/>
              <w:bottom w:val="single" w:sz="12" w:space="0" w:color="auto"/>
              <w:right w:val="nil"/>
            </w:tcBorders>
          </w:tcPr>
          <w:p w14:paraId="3ECD9237" w14:textId="77777777" w:rsidR="00981695" w:rsidRDefault="00981695" w:rsidP="00655228">
            <w:pPr>
              <w:spacing w:line="360" w:lineRule="auto"/>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C4C</w:t>
            </w:r>
          </w:p>
        </w:tc>
        <w:tc>
          <w:tcPr>
            <w:tcW w:w="993" w:type="dxa"/>
            <w:gridSpan w:val="2"/>
            <w:tcBorders>
              <w:top w:val="single" w:sz="12" w:space="0" w:color="auto"/>
              <w:left w:val="nil"/>
              <w:bottom w:val="single" w:sz="4" w:space="0" w:color="000000"/>
              <w:right w:val="nil"/>
            </w:tcBorders>
          </w:tcPr>
          <w:p w14:paraId="6F6F1228" w14:textId="77777777" w:rsidR="00981695" w:rsidRDefault="00981695" w:rsidP="00655228">
            <w:pPr>
              <w:spacing w:line="360" w:lineRule="auto"/>
              <w:rPr>
                <w:rFonts w:ascii="Times New Roman" w:eastAsia="Times New Roman" w:hAnsi="Times New Roman" w:cs="Times New Roman"/>
                <w:color w:val="000000"/>
                <w:sz w:val="15"/>
                <w:szCs w:val="15"/>
              </w:rPr>
            </w:pPr>
            <w:r>
              <w:rPr>
                <w:rFonts w:ascii="Times New Roman" w:eastAsia="Times New Roman" w:hAnsi="Times New Roman" w:cs="Times New Roman"/>
                <w:b/>
                <w:color w:val="000000"/>
                <w:sz w:val="15"/>
                <w:szCs w:val="15"/>
              </w:rPr>
              <w:t>Sources</w:t>
            </w:r>
          </w:p>
        </w:tc>
      </w:tr>
      <w:tr w:rsidR="009A3670" w14:paraId="22F9ED5F" w14:textId="77777777" w:rsidTr="000E64FD">
        <w:trPr>
          <w:gridAfter w:val="1"/>
          <w:wAfter w:w="43" w:type="dxa"/>
        </w:trPr>
        <w:tc>
          <w:tcPr>
            <w:tcW w:w="1560" w:type="dxa"/>
            <w:tcBorders>
              <w:top w:val="single" w:sz="12" w:space="0" w:color="auto"/>
              <w:left w:val="nil"/>
              <w:bottom w:val="nil"/>
              <w:right w:val="nil"/>
            </w:tcBorders>
          </w:tcPr>
          <w:p w14:paraId="2E3FB1AF" w14:textId="77777777" w:rsidR="00981695" w:rsidRDefault="00981695" w:rsidP="00655228">
            <w:pPr>
              <w:spacing w:line="360" w:lineRule="auto"/>
              <w:rPr>
                <w:rFonts w:ascii="Times New Roman" w:eastAsia="Times New Roman" w:hAnsi="Times New Roman" w:cs="Times New Roman"/>
                <w:color w:val="000000"/>
                <w:sz w:val="16"/>
                <w:szCs w:val="16"/>
              </w:rPr>
            </w:pPr>
            <w:r>
              <w:rPr>
                <w:rFonts w:ascii="Times New Roman" w:eastAsia="Times New Roman" w:hAnsi="Times New Roman" w:cs="Times New Roman"/>
                <w:b/>
                <w:i/>
                <w:color w:val="000000"/>
                <w:sz w:val="20"/>
                <w:szCs w:val="20"/>
              </w:rPr>
              <w:t>np</w:t>
            </w:r>
            <w:r>
              <w:rPr>
                <w:rFonts w:ascii="Times New Roman" w:eastAsia="Times New Roman" w:hAnsi="Times New Roman" w:cs="Times New Roman"/>
                <w:b/>
                <w:i/>
                <w:color w:val="000000"/>
                <w:sz w:val="20"/>
                <w:szCs w:val="20"/>
                <w:vertAlign w:val="subscript"/>
              </w:rPr>
              <w:t>leaf,min</w:t>
            </w:r>
            <w:r>
              <w:rPr>
                <w:rFonts w:ascii="Times New Roman" w:eastAsia="Times New Roman" w:hAnsi="Times New Roman" w:cs="Times New Roman"/>
                <w:b/>
                <w:color w:val="000000"/>
                <w:sz w:val="16"/>
                <w:szCs w:val="16"/>
              </w:rPr>
              <w:t xml:space="preserve"> for v1.1</w:t>
            </w:r>
          </w:p>
        </w:tc>
        <w:tc>
          <w:tcPr>
            <w:tcW w:w="567" w:type="dxa"/>
            <w:tcBorders>
              <w:top w:val="single" w:sz="12" w:space="0" w:color="auto"/>
              <w:left w:val="nil"/>
              <w:bottom w:val="nil"/>
              <w:right w:val="nil"/>
            </w:tcBorders>
            <w:vAlign w:val="center"/>
          </w:tcPr>
          <w:p w14:paraId="5C905A31"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16.68</w:t>
            </w:r>
          </w:p>
        </w:tc>
        <w:tc>
          <w:tcPr>
            <w:tcW w:w="708" w:type="dxa"/>
            <w:tcBorders>
              <w:top w:val="single" w:sz="12" w:space="0" w:color="auto"/>
              <w:left w:val="nil"/>
              <w:bottom w:val="nil"/>
              <w:right w:val="nil"/>
            </w:tcBorders>
            <w:vAlign w:val="center"/>
          </w:tcPr>
          <w:p w14:paraId="28E0FEEA"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16.68</w:t>
            </w:r>
          </w:p>
        </w:tc>
        <w:tc>
          <w:tcPr>
            <w:tcW w:w="709" w:type="dxa"/>
            <w:tcBorders>
              <w:top w:val="single" w:sz="12" w:space="0" w:color="auto"/>
              <w:left w:val="nil"/>
              <w:bottom w:val="nil"/>
              <w:right w:val="nil"/>
            </w:tcBorders>
            <w:vAlign w:val="center"/>
          </w:tcPr>
          <w:p w14:paraId="5AA02D2D"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8.34</w:t>
            </w:r>
          </w:p>
        </w:tc>
        <w:tc>
          <w:tcPr>
            <w:tcW w:w="709" w:type="dxa"/>
            <w:tcBorders>
              <w:top w:val="single" w:sz="12" w:space="0" w:color="auto"/>
              <w:left w:val="nil"/>
              <w:bottom w:val="nil"/>
              <w:right w:val="nil"/>
            </w:tcBorders>
            <w:vAlign w:val="center"/>
          </w:tcPr>
          <w:p w14:paraId="4DF1ECD7"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10.84</w:t>
            </w:r>
          </w:p>
        </w:tc>
        <w:tc>
          <w:tcPr>
            <w:tcW w:w="709" w:type="dxa"/>
            <w:tcBorders>
              <w:top w:val="single" w:sz="12" w:space="0" w:color="auto"/>
              <w:left w:val="nil"/>
              <w:bottom w:val="nil"/>
              <w:right w:val="nil"/>
            </w:tcBorders>
            <w:vAlign w:val="center"/>
          </w:tcPr>
          <w:p w14:paraId="5517D79C"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10.84</w:t>
            </w:r>
          </w:p>
        </w:tc>
        <w:tc>
          <w:tcPr>
            <w:tcW w:w="708" w:type="dxa"/>
            <w:tcBorders>
              <w:top w:val="single" w:sz="12" w:space="0" w:color="auto"/>
              <w:left w:val="nil"/>
              <w:bottom w:val="nil"/>
              <w:right w:val="nil"/>
            </w:tcBorders>
            <w:vAlign w:val="center"/>
          </w:tcPr>
          <w:p w14:paraId="0EB75DE8"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8.34</w:t>
            </w:r>
          </w:p>
        </w:tc>
        <w:tc>
          <w:tcPr>
            <w:tcW w:w="732" w:type="dxa"/>
            <w:tcBorders>
              <w:top w:val="single" w:sz="12" w:space="0" w:color="auto"/>
              <w:left w:val="nil"/>
              <w:bottom w:val="nil"/>
              <w:right w:val="nil"/>
            </w:tcBorders>
            <w:vAlign w:val="center"/>
          </w:tcPr>
          <w:p w14:paraId="2B9A45C7"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10.84</w:t>
            </w:r>
          </w:p>
        </w:tc>
        <w:tc>
          <w:tcPr>
            <w:tcW w:w="828" w:type="dxa"/>
            <w:tcBorders>
              <w:top w:val="single" w:sz="12" w:space="0" w:color="auto"/>
              <w:left w:val="nil"/>
              <w:bottom w:val="nil"/>
              <w:right w:val="nil"/>
            </w:tcBorders>
            <w:vAlign w:val="center"/>
          </w:tcPr>
          <w:p w14:paraId="5873BB7B"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10.84</w:t>
            </w:r>
          </w:p>
        </w:tc>
        <w:tc>
          <w:tcPr>
            <w:tcW w:w="567" w:type="dxa"/>
            <w:tcBorders>
              <w:top w:val="single" w:sz="12" w:space="0" w:color="auto"/>
              <w:left w:val="nil"/>
              <w:bottom w:val="nil"/>
              <w:right w:val="nil"/>
            </w:tcBorders>
            <w:vAlign w:val="center"/>
          </w:tcPr>
          <w:p w14:paraId="6AEC55DE"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10.84</w:t>
            </w:r>
          </w:p>
        </w:tc>
        <w:tc>
          <w:tcPr>
            <w:tcW w:w="567" w:type="dxa"/>
            <w:tcBorders>
              <w:top w:val="single" w:sz="12" w:space="0" w:color="auto"/>
              <w:left w:val="nil"/>
              <w:bottom w:val="nil"/>
              <w:right w:val="nil"/>
            </w:tcBorders>
            <w:vAlign w:val="center"/>
          </w:tcPr>
          <w:p w14:paraId="07A70CFA"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10.84</w:t>
            </w:r>
          </w:p>
        </w:tc>
        <w:tc>
          <w:tcPr>
            <w:tcW w:w="567" w:type="dxa"/>
            <w:tcBorders>
              <w:top w:val="single" w:sz="12" w:space="0" w:color="auto"/>
              <w:left w:val="nil"/>
              <w:bottom w:val="nil"/>
              <w:right w:val="nil"/>
            </w:tcBorders>
            <w:vAlign w:val="center"/>
          </w:tcPr>
          <w:p w14:paraId="2EA998E1" w14:textId="77777777" w:rsidR="00981695" w:rsidRDefault="00981695" w:rsidP="00655228">
            <w:pPr>
              <w:spacing w:line="36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t>
            </w:r>
          </w:p>
        </w:tc>
        <w:tc>
          <w:tcPr>
            <w:tcW w:w="567" w:type="dxa"/>
            <w:tcBorders>
              <w:top w:val="single" w:sz="12" w:space="0" w:color="auto"/>
              <w:left w:val="nil"/>
              <w:bottom w:val="nil"/>
              <w:right w:val="nil"/>
            </w:tcBorders>
            <w:vAlign w:val="center"/>
          </w:tcPr>
          <w:p w14:paraId="3B5AC336" w14:textId="77777777" w:rsidR="00981695" w:rsidRDefault="00981695" w:rsidP="00655228">
            <w:pPr>
              <w:spacing w:line="36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t>
            </w:r>
          </w:p>
        </w:tc>
        <w:tc>
          <w:tcPr>
            <w:tcW w:w="950" w:type="dxa"/>
            <w:tcBorders>
              <w:top w:val="single" w:sz="12" w:space="0" w:color="auto"/>
              <w:left w:val="nil"/>
              <w:bottom w:val="nil"/>
              <w:right w:val="nil"/>
            </w:tcBorders>
          </w:tcPr>
          <w:p w14:paraId="23FFAF6F" w14:textId="77777777" w:rsidR="00981695" w:rsidRDefault="00981695" w:rsidP="00655228">
            <w:pPr>
              <w:spacing w:line="360" w:lineRule="auto"/>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McGroddy et al. (2004)</w:t>
            </w:r>
          </w:p>
        </w:tc>
      </w:tr>
      <w:tr w:rsidR="009A3670" w14:paraId="364A0478" w14:textId="77777777" w:rsidTr="000E64FD">
        <w:trPr>
          <w:gridAfter w:val="1"/>
          <w:wAfter w:w="43" w:type="dxa"/>
        </w:trPr>
        <w:tc>
          <w:tcPr>
            <w:tcW w:w="1560" w:type="dxa"/>
            <w:tcBorders>
              <w:top w:val="nil"/>
              <w:left w:val="nil"/>
              <w:bottom w:val="nil"/>
              <w:right w:val="nil"/>
            </w:tcBorders>
          </w:tcPr>
          <w:p w14:paraId="69142A41" w14:textId="77777777" w:rsidR="00981695" w:rsidRDefault="00981695" w:rsidP="00655228">
            <w:pPr>
              <w:spacing w:line="360" w:lineRule="auto"/>
              <w:rPr>
                <w:rFonts w:ascii="Times New Roman" w:eastAsia="Times New Roman" w:hAnsi="Times New Roman" w:cs="Times New Roman"/>
                <w:color w:val="000000"/>
                <w:sz w:val="16"/>
                <w:szCs w:val="16"/>
              </w:rPr>
            </w:pPr>
            <w:r>
              <w:rPr>
                <w:rFonts w:ascii="Times New Roman" w:eastAsia="Times New Roman" w:hAnsi="Times New Roman" w:cs="Times New Roman"/>
                <w:b/>
                <w:i/>
                <w:color w:val="000000"/>
                <w:sz w:val="20"/>
                <w:szCs w:val="20"/>
              </w:rPr>
              <w:t>np</w:t>
            </w:r>
            <w:r>
              <w:rPr>
                <w:rFonts w:ascii="Times New Roman" w:eastAsia="Times New Roman" w:hAnsi="Times New Roman" w:cs="Times New Roman"/>
                <w:b/>
                <w:i/>
                <w:color w:val="000000"/>
                <w:sz w:val="20"/>
                <w:szCs w:val="20"/>
                <w:vertAlign w:val="subscript"/>
              </w:rPr>
              <w:t>leaf,max</w:t>
            </w:r>
            <w:r>
              <w:rPr>
                <w:rFonts w:ascii="Times New Roman" w:eastAsia="Times New Roman" w:hAnsi="Times New Roman" w:cs="Times New Roman"/>
                <w:b/>
                <w:color w:val="000000"/>
                <w:sz w:val="16"/>
                <w:szCs w:val="16"/>
              </w:rPr>
              <w:t xml:space="preserve"> for v1.1</w:t>
            </w:r>
          </w:p>
        </w:tc>
        <w:tc>
          <w:tcPr>
            <w:tcW w:w="567" w:type="dxa"/>
            <w:tcBorders>
              <w:top w:val="nil"/>
              <w:left w:val="nil"/>
              <w:bottom w:val="nil"/>
              <w:right w:val="nil"/>
            </w:tcBorders>
            <w:vAlign w:val="center"/>
          </w:tcPr>
          <w:p w14:paraId="45A5EA29"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22.57</w:t>
            </w:r>
          </w:p>
        </w:tc>
        <w:tc>
          <w:tcPr>
            <w:tcW w:w="708" w:type="dxa"/>
            <w:tcBorders>
              <w:top w:val="nil"/>
              <w:left w:val="nil"/>
              <w:bottom w:val="nil"/>
              <w:right w:val="nil"/>
            </w:tcBorders>
            <w:vAlign w:val="center"/>
          </w:tcPr>
          <w:p w14:paraId="09150BFA"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22.57</w:t>
            </w:r>
          </w:p>
        </w:tc>
        <w:tc>
          <w:tcPr>
            <w:tcW w:w="709" w:type="dxa"/>
            <w:tcBorders>
              <w:top w:val="nil"/>
              <w:left w:val="nil"/>
              <w:bottom w:val="nil"/>
              <w:right w:val="nil"/>
            </w:tcBorders>
            <w:vAlign w:val="center"/>
          </w:tcPr>
          <w:p w14:paraId="07792A93"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11.29</w:t>
            </w:r>
          </w:p>
        </w:tc>
        <w:tc>
          <w:tcPr>
            <w:tcW w:w="709" w:type="dxa"/>
            <w:tcBorders>
              <w:top w:val="nil"/>
              <w:left w:val="nil"/>
              <w:bottom w:val="nil"/>
              <w:right w:val="nil"/>
            </w:tcBorders>
            <w:vAlign w:val="center"/>
          </w:tcPr>
          <w:p w14:paraId="4E62F815"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14.67</w:t>
            </w:r>
          </w:p>
        </w:tc>
        <w:tc>
          <w:tcPr>
            <w:tcW w:w="709" w:type="dxa"/>
            <w:tcBorders>
              <w:top w:val="nil"/>
              <w:left w:val="nil"/>
              <w:bottom w:val="nil"/>
              <w:right w:val="nil"/>
            </w:tcBorders>
            <w:vAlign w:val="center"/>
          </w:tcPr>
          <w:p w14:paraId="45D41DB0"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14.67</w:t>
            </w:r>
          </w:p>
        </w:tc>
        <w:tc>
          <w:tcPr>
            <w:tcW w:w="708" w:type="dxa"/>
            <w:tcBorders>
              <w:top w:val="nil"/>
              <w:left w:val="nil"/>
              <w:bottom w:val="nil"/>
              <w:right w:val="nil"/>
            </w:tcBorders>
            <w:vAlign w:val="center"/>
          </w:tcPr>
          <w:p w14:paraId="7583BD87"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11.29</w:t>
            </w:r>
          </w:p>
        </w:tc>
        <w:tc>
          <w:tcPr>
            <w:tcW w:w="732" w:type="dxa"/>
            <w:tcBorders>
              <w:top w:val="nil"/>
              <w:left w:val="nil"/>
              <w:bottom w:val="nil"/>
              <w:right w:val="nil"/>
            </w:tcBorders>
            <w:vAlign w:val="center"/>
          </w:tcPr>
          <w:p w14:paraId="5A0AE704"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14.67</w:t>
            </w:r>
          </w:p>
        </w:tc>
        <w:tc>
          <w:tcPr>
            <w:tcW w:w="828" w:type="dxa"/>
            <w:tcBorders>
              <w:top w:val="nil"/>
              <w:left w:val="nil"/>
              <w:bottom w:val="nil"/>
              <w:right w:val="nil"/>
            </w:tcBorders>
            <w:vAlign w:val="center"/>
          </w:tcPr>
          <w:p w14:paraId="6F4D71C5"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14.67</w:t>
            </w:r>
          </w:p>
        </w:tc>
        <w:tc>
          <w:tcPr>
            <w:tcW w:w="567" w:type="dxa"/>
            <w:tcBorders>
              <w:top w:val="nil"/>
              <w:left w:val="nil"/>
              <w:bottom w:val="nil"/>
              <w:right w:val="nil"/>
            </w:tcBorders>
            <w:vAlign w:val="center"/>
          </w:tcPr>
          <w:p w14:paraId="0912934C"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14.67</w:t>
            </w:r>
          </w:p>
        </w:tc>
        <w:tc>
          <w:tcPr>
            <w:tcW w:w="567" w:type="dxa"/>
            <w:tcBorders>
              <w:top w:val="nil"/>
              <w:left w:val="nil"/>
              <w:bottom w:val="nil"/>
              <w:right w:val="nil"/>
            </w:tcBorders>
            <w:vAlign w:val="center"/>
          </w:tcPr>
          <w:p w14:paraId="28A9807C"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14.67</w:t>
            </w:r>
          </w:p>
        </w:tc>
        <w:tc>
          <w:tcPr>
            <w:tcW w:w="567" w:type="dxa"/>
            <w:tcBorders>
              <w:top w:val="nil"/>
              <w:left w:val="nil"/>
              <w:bottom w:val="nil"/>
              <w:right w:val="nil"/>
            </w:tcBorders>
            <w:vAlign w:val="center"/>
          </w:tcPr>
          <w:p w14:paraId="09B2DF87" w14:textId="77777777" w:rsidR="00981695" w:rsidRDefault="00981695" w:rsidP="00655228">
            <w:pPr>
              <w:spacing w:line="36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t>
            </w:r>
          </w:p>
        </w:tc>
        <w:tc>
          <w:tcPr>
            <w:tcW w:w="567" w:type="dxa"/>
            <w:tcBorders>
              <w:top w:val="nil"/>
              <w:left w:val="nil"/>
              <w:bottom w:val="nil"/>
              <w:right w:val="nil"/>
            </w:tcBorders>
            <w:vAlign w:val="center"/>
          </w:tcPr>
          <w:p w14:paraId="2E3606A6" w14:textId="77777777" w:rsidR="00981695" w:rsidRDefault="00981695" w:rsidP="00655228">
            <w:pPr>
              <w:spacing w:line="36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t>
            </w:r>
          </w:p>
        </w:tc>
        <w:tc>
          <w:tcPr>
            <w:tcW w:w="950" w:type="dxa"/>
            <w:tcBorders>
              <w:top w:val="nil"/>
              <w:left w:val="nil"/>
              <w:bottom w:val="nil"/>
              <w:right w:val="nil"/>
            </w:tcBorders>
          </w:tcPr>
          <w:p w14:paraId="69A9E884" w14:textId="77777777" w:rsidR="00981695" w:rsidRDefault="00981695" w:rsidP="00655228">
            <w:pPr>
              <w:spacing w:line="36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5"/>
                <w:szCs w:val="15"/>
              </w:rPr>
              <w:t>McGroddy et al. (2004)</w:t>
            </w:r>
          </w:p>
        </w:tc>
      </w:tr>
      <w:tr w:rsidR="009A3670" w14:paraId="72DF8AFF" w14:textId="77777777" w:rsidTr="000E64FD">
        <w:trPr>
          <w:gridAfter w:val="1"/>
          <w:wAfter w:w="43" w:type="dxa"/>
          <w:trHeight w:val="363"/>
        </w:trPr>
        <w:tc>
          <w:tcPr>
            <w:tcW w:w="1560" w:type="dxa"/>
            <w:tcBorders>
              <w:top w:val="nil"/>
              <w:left w:val="nil"/>
              <w:bottom w:val="nil"/>
              <w:right w:val="nil"/>
            </w:tcBorders>
          </w:tcPr>
          <w:p w14:paraId="509A3461" w14:textId="77777777" w:rsidR="00981695" w:rsidRDefault="00981695" w:rsidP="00655228">
            <w:pPr>
              <w:spacing w:line="360" w:lineRule="auto"/>
              <w:rPr>
                <w:rFonts w:ascii="Times New Roman" w:eastAsia="Times New Roman" w:hAnsi="Times New Roman" w:cs="Times New Roman"/>
                <w:color w:val="000000"/>
                <w:sz w:val="16"/>
                <w:szCs w:val="16"/>
              </w:rPr>
            </w:pPr>
            <w:r>
              <w:rPr>
                <w:rFonts w:ascii="Times New Roman" w:eastAsia="Times New Roman" w:hAnsi="Times New Roman" w:cs="Times New Roman"/>
                <w:b/>
                <w:i/>
                <w:color w:val="000000"/>
                <w:sz w:val="20"/>
                <w:szCs w:val="20"/>
              </w:rPr>
              <w:t>np</w:t>
            </w:r>
            <w:r>
              <w:rPr>
                <w:rFonts w:ascii="Times New Roman" w:eastAsia="Times New Roman" w:hAnsi="Times New Roman" w:cs="Times New Roman"/>
                <w:b/>
                <w:i/>
                <w:color w:val="000000"/>
                <w:sz w:val="20"/>
                <w:szCs w:val="20"/>
                <w:vertAlign w:val="subscript"/>
              </w:rPr>
              <w:t>leaf,min</w:t>
            </w:r>
            <w:r>
              <w:rPr>
                <w:rFonts w:ascii="Times New Roman" w:eastAsia="Times New Roman" w:hAnsi="Times New Roman" w:cs="Times New Roman"/>
                <w:b/>
                <w:color w:val="000000"/>
                <w:sz w:val="16"/>
                <w:szCs w:val="16"/>
              </w:rPr>
              <w:t xml:space="preserve"> for v1.2</w:t>
            </w:r>
          </w:p>
        </w:tc>
        <w:tc>
          <w:tcPr>
            <w:tcW w:w="567" w:type="dxa"/>
            <w:tcBorders>
              <w:top w:val="nil"/>
              <w:left w:val="nil"/>
              <w:bottom w:val="nil"/>
              <w:right w:val="nil"/>
            </w:tcBorders>
            <w:vAlign w:val="center"/>
          </w:tcPr>
          <w:p w14:paraId="46D83D56"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5</w:t>
            </w:r>
          </w:p>
        </w:tc>
        <w:tc>
          <w:tcPr>
            <w:tcW w:w="708" w:type="dxa"/>
            <w:tcBorders>
              <w:top w:val="nil"/>
              <w:left w:val="nil"/>
              <w:bottom w:val="nil"/>
              <w:right w:val="nil"/>
            </w:tcBorders>
            <w:vAlign w:val="center"/>
          </w:tcPr>
          <w:p w14:paraId="70B5ECBF"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5</w:t>
            </w:r>
          </w:p>
        </w:tc>
        <w:tc>
          <w:tcPr>
            <w:tcW w:w="709" w:type="dxa"/>
            <w:tcBorders>
              <w:top w:val="nil"/>
              <w:left w:val="nil"/>
              <w:bottom w:val="nil"/>
              <w:right w:val="nil"/>
            </w:tcBorders>
            <w:vAlign w:val="center"/>
          </w:tcPr>
          <w:p w14:paraId="0E4859CB"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5</w:t>
            </w:r>
          </w:p>
        </w:tc>
        <w:tc>
          <w:tcPr>
            <w:tcW w:w="709" w:type="dxa"/>
            <w:tcBorders>
              <w:top w:val="nil"/>
              <w:left w:val="nil"/>
              <w:bottom w:val="nil"/>
              <w:right w:val="nil"/>
            </w:tcBorders>
            <w:vAlign w:val="center"/>
          </w:tcPr>
          <w:p w14:paraId="08A984B6"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5</w:t>
            </w:r>
          </w:p>
        </w:tc>
        <w:tc>
          <w:tcPr>
            <w:tcW w:w="709" w:type="dxa"/>
            <w:tcBorders>
              <w:top w:val="nil"/>
              <w:left w:val="nil"/>
              <w:bottom w:val="nil"/>
              <w:right w:val="nil"/>
            </w:tcBorders>
            <w:vAlign w:val="center"/>
          </w:tcPr>
          <w:p w14:paraId="6A54E3ED"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5</w:t>
            </w:r>
          </w:p>
        </w:tc>
        <w:tc>
          <w:tcPr>
            <w:tcW w:w="708" w:type="dxa"/>
            <w:tcBorders>
              <w:top w:val="nil"/>
              <w:left w:val="nil"/>
              <w:bottom w:val="nil"/>
              <w:right w:val="nil"/>
            </w:tcBorders>
            <w:vAlign w:val="center"/>
          </w:tcPr>
          <w:p w14:paraId="55B8E293"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5</w:t>
            </w:r>
          </w:p>
        </w:tc>
        <w:tc>
          <w:tcPr>
            <w:tcW w:w="732" w:type="dxa"/>
            <w:tcBorders>
              <w:top w:val="nil"/>
              <w:left w:val="nil"/>
              <w:bottom w:val="nil"/>
              <w:right w:val="nil"/>
            </w:tcBorders>
            <w:vAlign w:val="center"/>
          </w:tcPr>
          <w:p w14:paraId="30D8F553"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5</w:t>
            </w:r>
          </w:p>
        </w:tc>
        <w:tc>
          <w:tcPr>
            <w:tcW w:w="828" w:type="dxa"/>
            <w:tcBorders>
              <w:top w:val="nil"/>
              <w:left w:val="nil"/>
              <w:bottom w:val="nil"/>
              <w:right w:val="nil"/>
            </w:tcBorders>
            <w:vAlign w:val="center"/>
          </w:tcPr>
          <w:p w14:paraId="0E48356A"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5</w:t>
            </w:r>
          </w:p>
        </w:tc>
        <w:tc>
          <w:tcPr>
            <w:tcW w:w="567" w:type="dxa"/>
            <w:tcBorders>
              <w:top w:val="nil"/>
              <w:left w:val="nil"/>
              <w:bottom w:val="nil"/>
              <w:right w:val="nil"/>
            </w:tcBorders>
            <w:vAlign w:val="center"/>
          </w:tcPr>
          <w:p w14:paraId="0335E932"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5</w:t>
            </w:r>
          </w:p>
        </w:tc>
        <w:tc>
          <w:tcPr>
            <w:tcW w:w="567" w:type="dxa"/>
            <w:tcBorders>
              <w:top w:val="nil"/>
              <w:left w:val="nil"/>
              <w:bottom w:val="nil"/>
              <w:right w:val="nil"/>
            </w:tcBorders>
            <w:vAlign w:val="center"/>
          </w:tcPr>
          <w:p w14:paraId="463FD3CB"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5</w:t>
            </w:r>
          </w:p>
        </w:tc>
        <w:tc>
          <w:tcPr>
            <w:tcW w:w="567" w:type="dxa"/>
            <w:tcBorders>
              <w:top w:val="nil"/>
              <w:left w:val="nil"/>
              <w:bottom w:val="nil"/>
              <w:right w:val="nil"/>
            </w:tcBorders>
            <w:vAlign w:val="center"/>
          </w:tcPr>
          <w:p w14:paraId="19ACE82B" w14:textId="77777777" w:rsidR="00981695" w:rsidRDefault="00981695" w:rsidP="00655228">
            <w:pPr>
              <w:spacing w:line="36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w:t>
            </w:r>
          </w:p>
        </w:tc>
        <w:tc>
          <w:tcPr>
            <w:tcW w:w="567" w:type="dxa"/>
            <w:tcBorders>
              <w:top w:val="nil"/>
              <w:left w:val="nil"/>
              <w:bottom w:val="nil"/>
              <w:right w:val="nil"/>
            </w:tcBorders>
            <w:vAlign w:val="center"/>
          </w:tcPr>
          <w:p w14:paraId="195386CD" w14:textId="77777777" w:rsidR="00981695" w:rsidRDefault="00981695" w:rsidP="00655228">
            <w:pPr>
              <w:spacing w:line="36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w:t>
            </w:r>
          </w:p>
        </w:tc>
        <w:tc>
          <w:tcPr>
            <w:tcW w:w="950" w:type="dxa"/>
            <w:tcBorders>
              <w:top w:val="nil"/>
              <w:left w:val="nil"/>
              <w:bottom w:val="nil"/>
              <w:right w:val="nil"/>
            </w:tcBorders>
          </w:tcPr>
          <w:p w14:paraId="34671D65" w14:textId="70067126" w:rsidR="00981695" w:rsidRDefault="00981695" w:rsidP="00655228">
            <w:pPr>
              <w:spacing w:line="360" w:lineRule="auto"/>
              <w:rPr>
                <w:rFonts w:ascii="Times New Roman" w:eastAsia="Times New Roman" w:hAnsi="Times New Roman" w:cs="Times New Roman"/>
                <w:color w:val="000000"/>
                <w:sz w:val="16"/>
                <w:szCs w:val="16"/>
              </w:rPr>
            </w:pPr>
          </w:p>
        </w:tc>
      </w:tr>
      <w:tr w:rsidR="009A3670" w14:paraId="2E52D849" w14:textId="77777777" w:rsidTr="000E64FD">
        <w:trPr>
          <w:gridAfter w:val="1"/>
          <w:wAfter w:w="43" w:type="dxa"/>
        </w:trPr>
        <w:tc>
          <w:tcPr>
            <w:tcW w:w="1560" w:type="dxa"/>
            <w:tcBorders>
              <w:top w:val="nil"/>
              <w:left w:val="nil"/>
              <w:bottom w:val="single" w:sz="12" w:space="0" w:color="auto"/>
              <w:right w:val="nil"/>
            </w:tcBorders>
          </w:tcPr>
          <w:p w14:paraId="04E45AA4" w14:textId="77777777" w:rsidR="00981695" w:rsidRDefault="00981695" w:rsidP="00655228">
            <w:pPr>
              <w:spacing w:line="360" w:lineRule="auto"/>
              <w:rPr>
                <w:rFonts w:ascii="Times New Roman" w:eastAsia="Times New Roman" w:hAnsi="Times New Roman" w:cs="Times New Roman"/>
                <w:color w:val="000000"/>
                <w:sz w:val="16"/>
                <w:szCs w:val="16"/>
              </w:rPr>
            </w:pPr>
            <w:r>
              <w:rPr>
                <w:rFonts w:ascii="Times New Roman" w:eastAsia="Times New Roman" w:hAnsi="Times New Roman" w:cs="Times New Roman"/>
                <w:b/>
                <w:i/>
                <w:color w:val="000000"/>
                <w:sz w:val="20"/>
                <w:szCs w:val="20"/>
              </w:rPr>
              <w:t>np</w:t>
            </w:r>
            <w:r>
              <w:rPr>
                <w:rFonts w:ascii="Times New Roman" w:eastAsia="Times New Roman" w:hAnsi="Times New Roman" w:cs="Times New Roman"/>
                <w:b/>
                <w:i/>
                <w:color w:val="000000"/>
                <w:sz w:val="20"/>
                <w:szCs w:val="20"/>
                <w:vertAlign w:val="subscript"/>
              </w:rPr>
              <w:t>leaf,max</w:t>
            </w:r>
            <w:r>
              <w:rPr>
                <w:rFonts w:ascii="Times New Roman" w:eastAsia="Times New Roman" w:hAnsi="Times New Roman" w:cs="Times New Roman"/>
                <w:b/>
                <w:color w:val="000000"/>
                <w:sz w:val="16"/>
                <w:szCs w:val="16"/>
              </w:rPr>
              <w:t xml:space="preserve"> for v1.2</w:t>
            </w:r>
          </w:p>
        </w:tc>
        <w:tc>
          <w:tcPr>
            <w:tcW w:w="567" w:type="dxa"/>
            <w:tcBorders>
              <w:top w:val="nil"/>
              <w:left w:val="nil"/>
              <w:bottom w:val="single" w:sz="12" w:space="0" w:color="auto"/>
              <w:right w:val="nil"/>
            </w:tcBorders>
            <w:vAlign w:val="center"/>
          </w:tcPr>
          <w:p w14:paraId="4775FEC0"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30</w:t>
            </w:r>
          </w:p>
        </w:tc>
        <w:tc>
          <w:tcPr>
            <w:tcW w:w="708" w:type="dxa"/>
            <w:tcBorders>
              <w:top w:val="nil"/>
              <w:left w:val="nil"/>
              <w:bottom w:val="single" w:sz="12" w:space="0" w:color="auto"/>
              <w:right w:val="nil"/>
            </w:tcBorders>
            <w:vAlign w:val="center"/>
          </w:tcPr>
          <w:p w14:paraId="14BAD5EF"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30</w:t>
            </w:r>
          </w:p>
        </w:tc>
        <w:tc>
          <w:tcPr>
            <w:tcW w:w="709" w:type="dxa"/>
            <w:tcBorders>
              <w:top w:val="nil"/>
              <w:left w:val="nil"/>
              <w:bottom w:val="single" w:sz="12" w:space="0" w:color="auto"/>
              <w:right w:val="nil"/>
            </w:tcBorders>
            <w:vAlign w:val="center"/>
          </w:tcPr>
          <w:p w14:paraId="5EADDE8E"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30</w:t>
            </w:r>
          </w:p>
        </w:tc>
        <w:tc>
          <w:tcPr>
            <w:tcW w:w="709" w:type="dxa"/>
            <w:tcBorders>
              <w:top w:val="nil"/>
              <w:left w:val="nil"/>
              <w:bottom w:val="single" w:sz="12" w:space="0" w:color="auto"/>
              <w:right w:val="nil"/>
            </w:tcBorders>
            <w:vAlign w:val="center"/>
          </w:tcPr>
          <w:p w14:paraId="4F3FD849"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30</w:t>
            </w:r>
          </w:p>
        </w:tc>
        <w:tc>
          <w:tcPr>
            <w:tcW w:w="709" w:type="dxa"/>
            <w:tcBorders>
              <w:top w:val="nil"/>
              <w:left w:val="nil"/>
              <w:bottom w:val="single" w:sz="12" w:space="0" w:color="auto"/>
              <w:right w:val="nil"/>
            </w:tcBorders>
            <w:vAlign w:val="center"/>
          </w:tcPr>
          <w:p w14:paraId="5F59352B"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30</w:t>
            </w:r>
          </w:p>
        </w:tc>
        <w:tc>
          <w:tcPr>
            <w:tcW w:w="708" w:type="dxa"/>
            <w:tcBorders>
              <w:top w:val="nil"/>
              <w:left w:val="nil"/>
              <w:bottom w:val="single" w:sz="12" w:space="0" w:color="auto"/>
              <w:right w:val="nil"/>
            </w:tcBorders>
            <w:vAlign w:val="center"/>
          </w:tcPr>
          <w:p w14:paraId="7C59ABDA"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30</w:t>
            </w:r>
          </w:p>
        </w:tc>
        <w:tc>
          <w:tcPr>
            <w:tcW w:w="732" w:type="dxa"/>
            <w:tcBorders>
              <w:top w:val="nil"/>
              <w:left w:val="nil"/>
              <w:bottom w:val="single" w:sz="12" w:space="0" w:color="auto"/>
              <w:right w:val="nil"/>
            </w:tcBorders>
            <w:vAlign w:val="center"/>
          </w:tcPr>
          <w:p w14:paraId="1722C65B"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30</w:t>
            </w:r>
          </w:p>
        </w:tc>
        <w:tc>
          <w:tcPr>
            <w:tcW w:w="828" w:type="dxa"/>
            <w:tcBorders>
              <w:top w:val="nil"/>
              <w:left w:val="nil"/>
              <w:bottom w:val="single" w:sz="12" w:space="0" w:color="auto"/>
              <w:right w:val="nil"/>
            </w:tcBorders>
            <w:vAlign w:val="center"/>
          </w:tcPr>
          <w:p w14:paraId="2C2043C9"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30</w:t>
            </w:r>
          </w:p>
        </w:tc>
        <w:tc>
          <w:tcPr>
            <w:tcW w:w="567" w:type="dxa"/>
            <w:tcBorders>
              <w:top w:val="nil"/>
              <w:left w:val="nil"/>
              <w:bottom w:val="single" w:sz="12" w:space="0" w:color="auto"/>
              <w:right w:val="nil"/>
            </w:tcBorders>
            <w:vAlign w:val="center"/>
          </w:tcPr>
          <w:p w14:paraId="6CD54EBB"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30</w:t>
            </w:r>
          </w:p>
        </w:tc>
        <w:tc>
          <w:tcPr>
            <w:tcW w:w="567" w:type="dxa"/>
            <w:tcBorders>
              <w:top w:val="nil"/>
              <w:left w:val="nil"/>
              <w:bottom w:val="single" w:sz="12" w:space="0" w:color="auto"/>
              <w:right w:val="nil"/>
            </w:tcBorders>
            <w:vAlign w:val="center"/>
          </w:tcPr>
          <w:p w14:paraId="4E3A5E88" w14:textId="77777777" w:rsidR="00981695" w:rsidRDefault="00981695" w:rsidP="00655228">
            <w:pPr>
              <w:spacing w:line="360" w:lineRule="auto"/>
              <w:jc w:val="center"/>
              <w:rPr>
                <w:rFonts w:ascii="Times New Roman" w:eastAsia="Times New Roman" w:hAnsi="Times New Roman" w:cs="Times New Roman"/>
                <w:color w:val="000000"/>
                <w:sz w:val="15"/>
                <w:szCs w:val="15"/>
              </w:rPr>
            </w:pPr>
            <w:r>
              <w:rPr>
                <w:rFonts w:ascii="Times New Roman" w:eastAsia="Times New Roman" w:hAnsi="Times New Roman" w:cs="Times New Roman"/>
                <w:color w:val="000000"/>
                <w:sz w:val="15"/>
                <w:szCs w:val="15"/>
              </w:rPr>
              <w:t>30</w:t>
            </w:r>
          </w:p>
        </w:tc>
        <w:tc>
          <w:tcPr>
            <w:tcW w:w="567" w:type="dxa"/>
            <w:tcBorders>
              <w:top w:val="nil"/>
              <w:left w:val="nil"/>
              <w:bottom w:val="single" w:sz="12" w:space="0" w:color="auto"/>
              <w:right w:val="nil"/>
            </w:tcBorders>
            <w:vAlign w:val="center"/>
          </w:tcPr>
          <w:p w14:paraId="30497853" w14:textId="77777777" w:rsidR="00981695" w:rsidRDefault="00981695" w:rsidP="00655228">
            <w:pPr>
              <w:spacing w:line="36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30</w:t>
            </w:r>
          </w:p>
        </w:tc>
        <w:tc>
          <w:tcPr>
            <w:tcW w:w="567" w:type="dxa"/>
            <w:tcBorders>
              <w:top w:val="nil"/>
              <w:left w:val="nil"/>
              <w:bottom w:val="single" w:sz="12" w:space="0" w:color="auto"/>
              <w:right w:val="nil"/>
            </w:tcBorders>
            <w:vAlign w:val="center"/>
          </w:tcPr>
          <w:p w14:paraId="0D99D7BB" w14:textId="77777777" w:rsidR="00981695" w:rsidRDefault="00981695" w:rsidP="00655228">
            <w:pPr>
              <w:spacing w:line="36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30</w:t>
            </w:r>
          </w:p>
        </w:tc>
        <w:tc>
          <w:tcPr>
            <w:tcW w:w="950" w:type="dxa"/>
            <w:tcBorders>
              <w:top w:val="nil"/>
              <w:left w:val="nil"/>
              <w:bottom w:val="single" w:sz="12" w:space="0" w:color="auto"/>
              <w:right w:val="nil"/>
            </w:tcBorders>
          </w:tcPr>
          <w:p w14:paraId="61F5D0A9" w14:textId="422FBEB5" w:rsidR="00981695" w:rsidRDefault="00981695" w:rsidP="00655228">
            <w:pPr>
              <w:spacing w:line="360" w:lineRule="auto"/>
              <w:rPr>
                <w:rFonts w:ascii="Times New Roman" w:eastAsia="Times New Roman" w:hAnsi="Times New Roman" w:cs="Times New Roman"/>
                <w:color w:val="000000"/>
                <w:sz w:val="16"/>
                <w:szCs w:val="16"/>
              </w:rPr>
            </w:pPr>
          </w:p>
        </w:tc>
      </w:tr>
    </w:tbl>
    <w:p w14:paraId="3B4029C8" w14:textId="77777777" w:rsidR="00981695" w:rsidRDefault="00981695" w:rsidP="00981695">
      <w:pPr>
        <w:spacing w:line="360" w:lineRule="auto"/>
        <w:rPr>
          <w:rFonts w:ascii="Times New Roman" w:eastAsia="Times New Roman" w:hAnsi="Times New Roman" w:cs="Times New Roman"/>
          <w:color w:val="000000"/>
          <w:sz w:val="16"/>
          <w:szCs w:val="16"/>
        </w:rPr>
      </w:pPr>
    </w:p>
    <w:p w14:paraId="641C51B8" w14:textId="77777777" w:rsidR="00981695" w:rsidRDefault="00981695" w:rsidP="00981695">
      <w:pPr>
        <w:spacing w:line="360" w:lineRule="auto"/>
        <w:rPr>
          <w:rFonts w:ascii="Times New Roman" w:eastAsia="Times New Roman" w:hAnsi="Times New Roman" w:cs="Times New Roman"/>
          <w:b/>
          <w:color w:val="000000"/>
          <w:sz w:val="22"/>
          <w:szCs w:val="22"/>
        </w:rPr>
      </w:pPr>
    </w:p>
    <w:p w14:paraId="2D77DF9B" w14:textId="34A8222C" w:rsidR="00981695" w:rsidRDefault="00981695" w:rsidP="009A3670">
      <w:pPr>
        <w:rPr>
          <w:rFonts w:ascii="Times New Roman" w:eastAsia="Times New Roman" w:hAnsi="Times New Roman" w:cs="Times New Roman"/>
          <w:color w:val="000000"/>
          <w:sz w:val="22"/>
          <w:szCs w:val="22"/>
        </w:rPr>
      </w:pPr>
      <w:r>
        <w:rPr>
          <w:rFonts w:ascii="Times New Roman" w:eastAsia="Times New Roman" w:hAnsi="Times New Roman" w:cs="Times New Roman"/>
          <w:b/>
          <w:color w:val="000000"/>
          <w:sz w:val="22"/>
          <w:szCs w:val="22"/>
        </w:rPr>
        <w:t>Table S</w:t>
      </w:r>
      <w:r w:rsidR="00642E04">
        <w:rPr>
          <w:rFonts w:ascii="Times New Roman" w:eastAsia="Times New Roman" w:hAnsi="Times New Roman" w:cs="Times New Roman"/>
          <w:b/>
          <w:color w:val="000000"/>
          <w:sz w:val="22"/>
          <w:szCs w:val="22"/>
        </w:rPr>
        <w:t>2</w:t>
      </w:r>
      <w:r>
        <w:rPr>
          <w:rFonts w:ascii="Times New Roman" w:eastAsia="Times New Roman" w:hAnsi="Times New Roman" w:cs="Times New Roman"/>
          <w:color w:val="000000"/>
          <w:sz w:val="22"/>
          <w:szCs w:val="22"/>
        </w:rPr>
        <w:t xml:space="preserve"> Total GPP and NPP (PgC yr-1) simulated by ORCHIDEE-CNP, ORCHIDEE and from data-driven products averaged over 2001-2010. </w:t>
      </w:r>
    </w:p>
    <w:p w14:paraId="6AC9F607" w14:textId="77777777" w:rsidR="00981695" w:rsidRDefault="00981695" w:rsidP="00981695">
      <w:pPr>
        <w:spacing w:line="360" w:lineRule="auto"/>
        <w:rPr>
          <w:rFonts w:ascii="Times New Roman" w:eastAsia="Times New Roman" w:hAnsi="Times New Roman" w:cs="Times New Roman"/>
          <w:color w:val="000000"/>
          <w:sz w:val="22"/>
          <w:szCs w:val="22"/>
        </w:rPr>
      </w:pPr>
    </w:p>
    <w:tbl>
      <w:tblPr>
        <w:tblW w:w="9641" w:type="dxa"/>
        <w:jc w:val="center"/>
        <w:tblBorders>
          <w:top w:val="single" w:sz="4" w:space="0" w:color="7F7F7F"/>
          <w:left w:val="nil"/>
          <w:bottom w:val="single" w:sz="4" w:space="0" w:color="7F7F7F"/>
          <w:right w:val="nil"/>
          <w:insideH w:val="nil"/>
          <w:insideV w:val="nil"/>
        </w:tblBorders>
        <w:tblLayout w:type="fixed"/>
        <w:tblLook w:val="0400" w:firstRow="0" w:lastRow="0" w:firstColumn="0" w:lastColumn="0" w:noHBand="0" w:noVBand="1"/>
      </w:tblPr>
      <w:tblGrid>
        <w:gridCol w:w="1708"/>
        <w:gridCol w:w="282"/>
        <w:gridCol w:w="879"/>
        <w:gridCol w:w="2100"/>
        <w:gridCol w:w="136"/>
        <w:gridCol w:w="1279"/>
        <w:gridCol w:w="286"/>
        <w:gridCol w:w="990"/>
        <w:gridCol w:w="1981"/>
      </w:tblGrid>
      <w:tr w:rsidR="00981695" w14:paraId="7E7747CE" w14:textId="77777777" w:rsidTr="000E64FD">
        <w:trPr>
          <w:trHeight w:val="436"/>
          <w:jc w:val="center"/>
        </w:trPr>
        <w:tc>
          <w:tcPr>
            <w:tcW w:w="1990" w:type="dxa"/>
            <w:gridSpan w:val="2"/>
            <w:tcBorders>
              <w:top w:val="single" w:sz="12" w:space="0" w:color="auto"/>
              <w:bottom w:val="single" w:sz="12" w:space="0" w:color="auto"/>
            </w:tcBorders>
          </w:tcPr>
          <w:p w14:paraId="60F057A3" w14:textId="77777777" w:rsidR="00981695" w:rsidRDefault="00981695" w:rsidP="00655228">
            <w:pPr>
              <w:spacing w:line="360" w:lineRule="auto"/>
              <w:jc w:val="center"/>
              <w:rPr>
                <w:rFonts w:ascii="Times New Roman" w:eastAsia="Times New Roman" w:hAnsi="Times New Roman" w:cs="Times New Roman"/>
                <w:color w:val="000000"/>
                <w:sz w:val="22"/>
                <w:szCs w:val="22"/>
              </w:rPr>
            </w:pPr>
          </w:p>
        </w:tc>
        <w:tc>
          <w:tcPr>
            <w:tcW w:w="879" w:type="dxa"/>
            <w:tcBorders>
              <w:top w:val="single" w:sz="12" w:space="0" w:color="auto"/>
              <w:bottom w:val="single" w:sz="12" w:space="0" w:color="auto"/>
            </w:tcBorders>
          </w:tcPr>
          <w:p w14:paraId="7F5EF408"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GPP</w:t>
            </w:r>
          </w:p>
        </w:tc>
        <w:tc>
          <w:tcPr>
            <w:tcW w:w="2236" w:type="dxa"/>
            <w:gridSpan w:val="2"/>
            <w:tcBorders>
              <w:top w:val="single" w:sz="12" w:space="0" w:color="auto"/>
              <w:bottom w:val="single" w:sz="12" w:space="0" w:color="auto"/>
            </w:tcBorders>
          </w:tcPr>
          <w:p w14:paraId="78C4E5B7"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Sources</w:t>
            </w:r>
          </w:p>
        </w:tc>
        <w:tc>
          <w:tcPr>
            <w:tcW w:w="1279" w:type="dxa"/>
            <w:tcBorders>
              <w:top w:val="single" w:sz="12" w:space="0" w:color="auto"/>
              <w:bottom w:val="single" w:sz="12" w:space="0" w:color="auto"/>
            </w:tcBorders>
          </w:tcPr>
          <w:p w14:paraId="34ADA5C7" w14:textId="77777777" w:rsidR="00981695" w:rsidRDefault="00981695" w:rsidP="00655228">
            <w:pPr>
              <w:spacing w:line="360" w:lineRule="auto"/>
              <w:jc w:val="center"/>
              <w:rPr>
                <w:rFonts w:ascii="Times New Roman" w:eastAsia="Times New Roman" w:hAnsi="Times New Roman" w:cs="Times New Roman"/>
                <w:color w:val="000000"/>
                <w:sz w:val="22"/>
                <w:szCs w:val="22"/>
              </w:rPr>
            </w:pPr>
          </w:p>
        </w:tc>
        <w:tc>
          <w:tcPr>
            <w:tcW w:w="1276" w:type="dxa"/>
            <w:gridSpan w:val="2"/>
            <w:tcBorders>
              <w:top w:val="single" w:sz="12" w:space="0" w:color="auto"/>
              <w:bottom w:val="single" w:sz="12" w:space="0" w:color="auto"/>
            </w:tcBorders>
          </w:tcPr>
          <w:p w14:paraId="04BD865C"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NPP</w:t>
            </w:r>
          </w:p>
        </w:tc>
        <w:tc>
          <w:tcPr>
            <w:tcW w:w="1981" w:type="dxa"/>
            <w:tcBorders>
              <w:top w:val="single" w:sz="12" w:space="0" w:color="auto"/>
              <w:bottom w:val="single" w:sz="12" w:space="0" w:color="auto"/>
            </w:tcBorders>
          </w:tcPr>
          <w:p w14:paraId="75D81A56"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Sources</w:t>
            </w:r>
          </w:p>
        </w:tc>
      </w:tr>
      <w:tr w:rsidR="00981695" w14:paraId="6E6E70D0" w14:textId="77777777" w:rsidTr="000E64FD">
        <w:trPr>
          <w:trHeight w:val="376"/>
          <w:jc w:val="center"/>
        </w:trPr>
        <w:tc>
          <w:tcPr>
            <w:tcW w:w="1708" w:type="dxa"/>
            <w:tcBorders>
              <w:top w:val="single" w:sz="12" w:space="0" w:color="auto"/>
            </w:tcBorders>
          </w:tcPr>
          <w:p w14:paraId="410A9FB3"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ORCHIDEE-CNP</w:t>
            </w:r>
          </w:p>
        </w:tc>
        <w:tc>
          <w:tcPr>
            <w:tcW w:w="1161" w:type="dxa"/>
            <w:gridSpan w:val="2"/>
            <w:tcBorders>
              <w:top w:val="single" w:sz="12" w:space="0" w:color="auto"/>
            </w:tcBorders>
          </w:tcPr>
          <w:p w14:paraId="4F9D653A"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119</w:t>
            </w:r>
          </w:p>
        </w:tc>
        <w:tc>
          <w:tcPr>
            <w:tcW w:w="2100" w:type="dxa"/>
            <w:tcBorders>
              <w:top w:val="single" w:sz="12" w:space="0" w:color="auto"/>
            </w:tcBorders>
          </w:tcPr>
          <w:p w14:paraId="64413BAF"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This study</w:t>
            </w:r>
          </w:p>
        </w:tc>
        <w:tc>
          <w:tcPr>
            <w:tcW w:w="1701" w:type="dxa"/>
            <w:gridSpan w:val="3"/>
            <w:tcBorders>
              <w:top w:val="single" w:sz="12" w:space="0" w:color="auto"/>
            </w:tcBorders>
          </w:tcPr>
          <w:p w14:paraId="359B8BB5"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ORCHIDEE-CNP</w:t>
            </w:r>
          </w:p>
        </w:tc>
        <w:tc>
          <w:tcPr>
            <w:tcW w:w="990" w:type="dxa"/>
            <w:tcBorders>
              <w:top w:val="single" w:sz="12" w:space="0" w:color="auto"/>
            </w:tcBorders>
          </w:tcPr>
          <w:p w14:paraId="2B4B5E25"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48</w:t>
            </w:r>
          </w:p>
        </w:tc>
        <w:tc>
          <w:tcPr>
            <w:tcW w:w="1981" w:type="dxa"/>
            <w:tcBorders>
              <w:top w:val="single" w:sz="12" w:space="0" w:color="auto"/>
            </w:tcBorders>
          </w:tcPr>
          <w:p w14:paraId="05677E8C"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This study</w:t>
            </w:r>
          </w:p>
        </w:tc>
      </w:tr>
      <w:tr w:rsidR="00981695" w14:paraId="706BC5FA" w14:textId="77777777" w:rsidTr="00655228">
        <w:trPr>
          <w:trHeight w:val="376"/>
          <w:jc w:val="center"/>
        </w:trPr>
        <w:tc>
          <w:tcPr>
            <w:tcW w:w="1708" w:type="dxa"/>
          </w:tcPr>
          <w:p w14:paraId="1DEABEFF"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ORCHIDEE</w:t>
            </w:r>
          </w:p>
        </w:tc>
        <w:tc>
          <w:tcPr>
            <w:tcW w:w="1161" w:type="dxa"/>
            <w:gridSpan w:val="2"/>
          </w:tcPr>
          <w:p w14:paraId="51ADF19C"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140</w:t>
            </w:r>
          </w:p>
        </w:tc>
        <w:tc>
          <w:tcPr>
            <w:tcW w:w="2100" w:type="dxa"/>
          </w:tcPr>
          <w:p w14:paraId="191AD7A0"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Krinner et al., 2005</w:t>
            </w:r>
          </w:p>
        </w:tc>
        <w:tc>
          <w:tcPr>
            <w:tcW w:w="1701" w:type="dxa"/>
            <w:gridSpan w:val="3"/>
          </w:tcPr>
          <w:p w14:paraId="35CEC275"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ORCHIDEE</w:t>
            </w:r>
          </w:p>
        </w:tc>
        <w:tc>
          <w:tcPr>
            <w:tcW w:w="990" w:type="dxa"/>
          </w:tcPr>
          <w:p w14:paraId="5806D839"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60</w:t>
            </w:r>
          </w:p>
        </w:tc>
        <w:tc>
          <w:tcPr>
            <w:tcW w:w="1981" w:type="dxa"/>
          </w:tcPr>
          <w:p w14:paraId="19A1D4C2"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Krinner et al., 2005</w:t>
            </w:r>
          </w:p>
        </w:tc>
      </w:tr>
      <w:tr w:rsidR="00981695" w14:paraId="28E537A5" w14:textId="77777777" w:rsidTr="00655228">
        <w:trPr>
          <w:trHeight w:val="392"/>
          <w:jc w:val="center"/>
        </w:trPr>
        <w:tc>
          <w:tcPr>
            <w:tcW w:w="1708" w:type="dxa"/>
          </w:tcPr>
          <w:p w14:paraId="71970E2A"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MODIS</w:t>
            </w:r>
          </w:p>
        </w:tc>
        <w:tc>
          <w:tcPr>
            <w:tcW w:w="1161" w:type="dxa"/>
            <w:gridSpan w:val="2"/>
          </w:tcPr>
          <w:p w14:paraId="4B075552"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110±23</w:t>
            </w:r>
          </w:p>
        </w:tc>
        <w:tc>
          <w:tcPr>
            <w:tcW w:w="2100" w:type="dxa"/>
          </w:tcPr>
          <w:p w14:paraId="73611290"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sz w:val="21"/>
                <w:szCs w:val="21"/>
              </w:rPr>
              <w:t>Turner et al., 2006</w:t>
            </w:r>
          </w:p>
        </w:tc>
        <w:tc>
          <w:tcPr>
            <w:tcW w:w="1701" w:type="dxa"/>
            <w:gridSpan w:val="3"/>
          </w:tcPr>
          <w:p w14:paraId="6E120E1A"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MODIS</w:t>
            </w:r>
          </w:p>
        </w:tc>
        <w:tc>
          <w:tcPr>
            <w:tcW w:w="990" w:type="dxa"/>
          </w:tcPr>
          <w:p w14:paraId="45B3FBF3"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55±11</w:t>
            </w:r>
          </w:p>
        </w:tc>
        <w:tc>
          <w:tcPr>
            <w:tcW w:w="1981" w:type="dxa"/>
          </w:tcPr>
          <w:p w14:paraId="24D56089"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sz w:val="21"/>
                <w:szCs w:val="21"/>
              </w:rPr>
              <w:t>Turner et al., 2006</w:t>
            </w:r>
          </w:p>
        </w:tc>
      </w:tr>
      <w:tr w:rsidR="00981695" w14:paraId="1B689016" w14:textId="77777777" w:rsidTr="00655228">
        <w:trPr>
          <w:trHeight w:val="377"/>
          <w:jc w:val="center"/>
        </w:trPr>
        <w:tc>
          <w:tcPr>
            <w:tcW w:w="1708" w:type="dxa"/>
          </w:tcPr>
          <w:p w14:paraId="7C94808A"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MTE</w:t>
            </w:r>
          </w:p>
        </w:tc>
        <w:tc>
          <w:tcPr>
            <w:tcW w:w="1161" w:type="dxa"/>
            <w:gridSpan w:val="2"/>
          </w:tcPr>
          <w:p w14:paraId="681438E6"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120±6</w:t>
            </w:r>
          </w:p>
        </w:tc>
        <w:tc>
          <w:tcPr>
            <w:tcW w:w="2100" w:type="dxa"/>
          </w:tcPr>
          <w:p w14:paraId="6AD7B8AD"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sz w:val="21"/>
                <w:szCs w:val="21"/>
              </w:rPr>
              <w:t>Jung et al., 2009</w:t>
            </w:r>
          </w:p>
        </w:tc>
        <w:tc>
          <w:tcPr>
            <w:tcW w:w="1701" w:type="dxa"/>
            <w:gridSpan w:val="3"/>
          </w:tcPr>
          <w:p w14:paraId="70D4BEFA"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BETHY</w:t>
            </w:r>
          </w:p>
        </w:tc>
        <w:tc>
          <w:tcPr>
            <w:tcW w:w="990" w:type="dxa"/>
          </w:tcPr>
          <w:p w14:paraId="2CAF8005"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60±3</w:t>
            </w:r>
          </w:p>
        </w:tc>
        <w:tc>
          <w:tcPr>
            <w:tcW w:w="1981" w:type="dxa"/>
          </w:tcPr>
          <w:p w14:paraId="63CF1BC0"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sz w:val="21"/>
                <w:szCs w:val="21"/>
              </w:rPr>
              <w:t>Tum et al., 2016</w:t>
            </w:r>
          </w:p>
        </w:tc>
      </w:tr>
      <w:tr w:rsidR="00981695" w14:paraId="50138383" w14:textId="77777777" w:rsidTr="000E64FD">
        <w:trPr>
          <w:trHeight w:val="712"/>
          <w:jc w:val="center"/>
        </w:trPr>
        <w:tc>
          <w:tcPr>
            <w:tcW w:w="1708" w:type="dxa"/>
            <w:tcBorders>
              <w:bottom w:val="single" w:sz="12" w:space="0" w:color="auto"/>
            </w:tcBorders>
          </w:tcPr>
          <w:p w14:paraId="156C4EB9"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BESS</w:t>
            </w:r>
          </w:p>
        </w:tc>
        <w:tc>
          <w:tcPr>
            <w:tcW w:w="1161" w:type="dxa"/>
            <w:gridSpan w:val="2"/>
            <w:tcBorders>
              <w:bottom w:val="single" w:sz="12" w:space="0" w:color="auto"/>
            </w:tcBorders>
          </w:tcPr>
          <w:p w14:paraId="7714C18E"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122±25</w:t>
            </w:r>
          </w:p>
        </w:tc>
        <w:tc>
          <w:tcPr>
            <w:tcW w:w="2100" w:type="dxa"/>
            <w:tcBorders>
              <w:bottom w:val="single" w:sz="12" w:space="0" w:color="auto"/>
            </w:tcBorders>
          </w:tcPr>
          <w:p w14:paraId="7252672F"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sz w:val="21"/>
                <w:szCs w:val="21"/>
              </w:rPr>
              <w:t>Jiang and Ryu, 2016</w:t>
            </w:r>
          </w:p>
        </w:tc>
        <w:tc>
          <w:tcPr>
            <w:tcW w:w="1701" w:type="dxa"/>
            <w:gridSpan w:val="3"/>
            <w:tcBorders>
              <w:bottom w:val="single" w:sz="12" w:space="0" w:color="auto"/>
            </w:tcBorders>
          </w:tcPr>
          <w:p w14:paraId="5E4D66FD"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GIMMS</w:t>
            </w:r>
          </w:p>
        </w:tc>
        <w:tc>
          <w:tcPr>
            <w:tcW w:w="990" w:type="dxa"/>
            <w:tcBorders>
              <w:bottom w:val="single" w:sz="12" w:space="0" w:color="auto"/>
            </w:tcBorders>
          </w:tcPr>
          <w:p w14:paraId="5A74EDEC"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33~49</w:t>
            </w:r>
          </w:p>
        </w:tc>
        <w:tc>
          <w:tcPr>
            <w:tcW w:w="1981" w:type="dxa"/>
            <w:tcBorders>
              <w:bottom w:val="single" w:sz="12" w:space="0" w:color="auto"/>
            </w:tcBorders>
          </w:tcPr>
          <w:p w14:paraId="52D853CB"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sz w:val="21"/>
                <w:szCs w:val="21"/>
              </w:rPr>
              <w:t>Smith et al., 2016</w:t>
            </w:r>
          </w:p>
        </w:tc>
      </w:tr>
    </w:tbl>
    <w:p w14:paraId="17A92098" w14:textId="77777777" w:rsidR="00981695" w:rsidRDefault="00981695" w:rsidP="006C3ED2">
      <w:pPr>
        <w:spacing w:line="360" w:lineRule="auto"/>
        <w:rPr>
          <w:rFonts w:ascii="Times New Roman" w:eastAsia="Times New Roman" w:hAnsi="Times New Roman" w:cs="Times New Roman"/>
          <w:color w:val="000000"/>
          <w:sz w:val="22"/>
          <w:szCs w:val="22"/>
        </w:rPr>
      </w:pPr>
    </w:p>
    <w:p w14:paraId="04CE0EEA" w14:textId="77777777" w:rsidR="009A3670" w:rsidRDefault="009A3670">
      <w:pPr>
        <w:rPr>
          <w:rFonts w:ascii="Times New Roman" w:eastAsia="Times New Roman" w:hAnsi="Times New Roman" w:cs="Times New Roman"/>
          <w:b/>
          <w:color w:val="000000"/>
        </w:rPr>
      </w:pPr>
      <w:r>
        <w:rPr>
          <w:rFonts w:ascii="Times New Roman" w:eastAsia="Times New Roman" w:hAnsi="Times New Roman" w:cs="Times New Roman"/>
          <w:b/>
          <w:color w:val="000000"/>
        </w:rPr>
        <w:br w:type="page"/>
      </w:r>
    </w:p>
    <w:p w14:paraId="2A18EC44" w14:textId="7FB2AE1A" w:rsidR="00981695" w:rsidRDefault="009C4A3C" w:rsidP="009A3670">
      <w:pPr>
        <w:rPr>
          <w:rFonts w:ascii="Times New Roman" w:eastAsia="Times New Roman" w:hAnsi="Times New Roman" w:cs="Times New Roman"/>
          <w:color w:val="000000"/>
        </w:rPr>
      </w:pPr>
      <w:r>
        <w:rPr>
          <w:rFonts w:ascii="Times New Roman" w:eastAsia="Times New Roman" w:hAnsi="Times New Roman" w:cs="Times New Roman"/>
          <w:b/>
          <w:color w:val="000000"/>
        </w:rPr>
        <w:lastRenderedPageBreak/>
        <w:t>Table S3</w:t>
      </w:r>
      <w:r w:rsidR="00981695">
        <w:rPr>
          <w:rFonts w:ascii="Times New Roman" w:eastAsia="Times New Roman" w:hAnsi="Times New Roman" w:cs="Times New Roman"/>
          <w:b/>
          <w:color w:val="000000"/>
        </w:rPr>
        <w:t xml:space="preserve"> </w:t>
      </w:r>
      <w:r w:rsidR="00981695">
        <w:rPr>
          <w:rFonts w:ascii="Times New Roman" w:eastAsia="Times New Roman" w:hAnsi="Times New Roman" w:cs="Times New Roman"/>
          <w:color w:val="000000"/>
        </w:rPr>
        <w:t>Global P inputs and outputs estimated by ORCHIDEE-CNP and previous studies. The estimations by Lun et al. (2018) and Mekonnen et al. (2018) are based on the balance of P inputs and removal of P.</w:t>
      </w:r>
    </w:p>
    <w:p w14:paraId="701ED709" w14:textId="77777777" w:rsidR="009A3670" w:rsidRDefault="009A3670" w:rsidP="009A3670">
      <w:pPr>
        <w:rPr>
          <w:rFonts w:ascii="Times New Roman" w:eastAsia="Times New Roman" w:hAnsi="Times New Roman" w:cs="Times New Roman"/>
          <w:b/>
          <w:color w:val="000000"/>
        </w:rPr>
      </w:pPr>
    </w:p>
    <w:tbl>
      <w:tblPr>
        <w:tblW w:w="8641" w:type="dxa"/>
        <w:tblBorders>
          <w:top w:val="single" w:sz="4" w:space="0" w:color="7F7F7F"/>
          <w:left w:val="nil"/>
          <w:bottom w:val="single" w:sz="4" w:space="0" w:color="7F7F7F"/>
          <w:right w:val="nil"/>
          <w:insideH w:val="single" w:sz="4" w:space="0" w:color="000000"/>
          <w:insideV w:val="nil"/>
        </w:tblBorders>
        <w:tblLayout w:type="fixed"/>
        <w:tblLook w:val="0400" w:firstRow="0" w:lastRow="0" w:firstColumn="0" w:lastColumn="0" w:noHBand="0" w:noVBand="1"/>
      </w:tblPr>
      <w:tblGrid>
        <w:gridCol w:w="960"/>
        <w:gridCol w:w="311"/>
        <w:gridCol w:w="1843"/>
        <w:gridCol w:w="579"/>
        <w:gridCol w:w="838"/>
        <w:gridCol w:w="1842"/>
        <w:gridCol w:w="2268"/>
      </w:tblGrid>
      <w:tr w:rsidR="00981695" w14:paraId="34138150" w14:textId="77777777" w:rsidTr="00E729F9">
        <w:trPr>
          <w:trHeight w:val="369"/>
        </w:trPr>
        <w:tc>
          <w:tcPr>
            <w:tcW w:w="960" w:type="dxa"/>
            <w:tcBorders>
              <w:top w:val="single" w:sz="12" w:space="0" w:color="auto"/>
              <w:bottom w:val="single" w:sz="12" w:space="0" w:color="auto"/>
            </w:tcBorders>
          </w:tcPr>
          <w:p w14:paraId="192CAD38" w14:textId="77777777" w:rsidR="00981695" w:rsidRDefault="00981695" w:rsidP="00655228">
            <w:pPr>
              <w:spacing w:line="360" w:lineRule="auto"/>
              <w:jc w:val="center"/>
              <w:rPr>
                <w:rFonts w:ascii="Times New Roman" w:eastAsia="Times New Roman" w:hAnsi="Times New Roman" w:cs="Times New Roman"/>
                <w:color w:val="000000"/>
                <w:sz w:val="22"/>
                <w:szCs w:val="22"/>
              </w:rPr>
            </w:pPr>
          </w:p>
        </w:tc>
        <w:tc>
          <w:tcPr>
            <w:tcW w:w="2154" w:type="dxa"/>
            <w:gridSpan w:val="2"/>
            <w:tcBorders>
              <w:top w:val="single" w:sz="12" w:space="0" w:color="auto"/>
              <w:bottom w:val="single" w:sz="12" w:space="0" w:color="auto"/>
            </w:tcBorders>
            <w:vAlign w:val="center"/>
          </w:tcPr>
          <w:p w14:paraId="61FDFFE1" w14:textId="77777777" w:rsidR="00981695" w:rsidRDefault="00981695" w:rsidP="00655228">
            <w:pPr>
              <w:spacing w:line="360" w:lineRule="auto"/>
              <w:jc w:val="center"/>
              <w:rPr>
                <w:rFonts w:ascii="Times New Roman" w:eastAsia="Times New Roman" w:hAnsi="Times New Roman" w:cs="Times New Roman"/>
                <w:color w:val="000000"/>
                <w:sz w:val="22"/>
                <w:szCs w:val="22"/>
              </w:rPr>
            </w:pPr>
          </w:p>
        </w:tc>
        <w:tc>
          <w:tcPr>
            <w:tcW w:w="1417" w:type="dxa"/>
            <w:gridSpan w:val="2"/>
            <w:tcBorders>
              <w:top w:val="single" w:sz="12" w:space="0" w:color="auto"/>
              <w:bottom w:val="single" w:sz="12" w:space="0" w:color="auto"/>
            </w:tcBorders>
            <w:vAlign w:val="center"/>
          </w:tcPr>
          <w:p w14:paraId="684E3FF7"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ORCHIDEE-CNP</w:t>
            </w:r>
          </w:p>
        </w:tc>
        <w:tc>
          <w:tcPr>
            <w:tcW w:w="1842" w:type="dxa"/>
            <w:tcBorders>
              <w:top w:val="single" w:sz="12" w:space="0" w:color="auto"/>
              <w:bottom w:val="single" w:sz="12" w:space="0" w:color="auto"/>
            </w:tcBorders>
          </w:tcPr>
          <w:p w14:paraId="1CF8CFC8" w14:textId="77777777" w:rsidR="00981695" w:rsidRDefault="00981695" w:rsidP="00655228">
            <w:pPr>
              <w:spacing w:line="36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Lun et al., (2018)</w:t>
            </w:r>
          </w:p>
        </w:tc>
        <w:tc>
          <w:tcPr>
            <w:tcW w:w="2268" w:type="dxa"/>
            <w:tcBorders>
              <w:top w:val="single" w:sz="12" w:space="0" w:color="auto"/>
            </w:tcBorders>
          </w:tcPr>
          <w:p w14:paraId="1047F876" w14:textId="4AF9E831" w:rsidR="00981695" w:rsidRDefault="00981695" w:rsidP="00655228">
            <w:pPr>
              <w:spacing w:line="36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Mekonnen </w:t>
            </w:r>
            <w:r w:rsidR="00335864" w:rsidRPr="00335864">
              <w:rPr>
                <w:rFonts w:ascii="Times New Roman" w:eastAsia="Times New Roman" w:hAnsi="Times New Roman" w:cs="Times New Roman"/>
                <w:color w:val="000000"/>
              </w:rPr>
              <w:t>and Hoekstra</w:t>
            </w:r>
            <w:r>
              <w:rPr>
                <w:rFonts w:ascii="Times New Roman" w:eastAsia="Times New Roman" w:hAnsi="Times New Roman" w:cs="Times New Roman"/>
                <w:color w:val="000000"/>
              </w:rPr>
              <w:t xml:space="preserve"> (2018)</w:t>
            </w:r>
          </w:p>
        </w:tc>
      </w:tr>
      <w:tr w:rsidR="00981695" w14:paraId="0ABFFA8F" w14:textId="77777777" w:rsidTr="00E729F9">
        <w:trPr>
          <w:trHeight w:val="352"/>
        </w:trPr>
        <w:tc>
          <w:tcPr>
            <w:tcW w:w="3114" w:type="dxa"/>
            <w:gridSpan w:val="3"/>
            <w:tcBorders>
              <w:top w:val="single" w:sz="12" w:space="0" w:color="auto"/>
            </w:tcBorders>
          </w:tcPr>
          <w:p w14:paraId="6B54A79C"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Study period</w:t>
            </w:r>
          </w:p>
        </w:tc>
        <w:tc>
          <w:tcPr>
            <w:tcW w:w="1417" w:type="dxa"/>
            <w:gridSpan w:val="2"/>
            <w:tcBorders>
              <w:top w:val="single" w:sz="12" w:space="0" w:color="auto"/>
            </w:tcBorders>
            <w:vAlign w:val="center"/>
          </w:tcPr>
          <w:p w14:paraId="29AF0BCD"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2002-2010</w:t>
            </w:r>
          </w:p>
        </w:tc>
        <w:tc>
          <w:tcPr>
            <w:tcW w:w="1842" w:type="dxa"/>
            <w:tcBorders>
              <w:top w:val="single" w:sz="12" w:space="0" w:color="auto"/>
            </w:tcBorders>
          </w:tcPr>
          <w:p w14:paraId="3B648254"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2002-2010</w:t>
            </w:r>
          </w:p>
        </w:tc>
        <w:tc>
          <w:tcPr>
            <w:tcW w:w="2268" w:type="dxa"/>
            <w:tcBorders>
              <w:top w:val="single" w:sz="12" w:space="0" w:color="auto"/>
            </w:tcBorders>
          </w:tcPr>
          <w:p w14:paraId="19E8959A"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2002-2010</w:t>
            </w:r>
          </w:p>
        </w:tc>
      </w:tr>
      <w:tr w:rsidR="00981695" w14:paraId="193B28A6" w14:textId="77777777" w:rsidTr="00655228">
        <w:trPr>
          <w:trHeight w:val="352"/>
        </w:trPr>
        <w:tc>
          <w:tcPr>
            <w:tcW w:w="3114" w:type="dxa"/>
            <w:gridSpan w:val="3"/>
          </w:tcPr>
          <w:p w14:paraId="01FBE99D"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Study biomes</w:t>
            </w:r>
          </w:p>
        </w:tc>
        <w:tc>
          <w:tcPr>
            <w:tcW w:w="1417" w:type="dxa"/>
            <w:gridSpan w:val="2"/>
            <w:vAlign w:val="center"/>
          </w:tcPr>
          <w:p w14:paraId="383DDF36"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Both natural and managed biomes</w:t>
            </w:r>
          </w:p>
        </w:tc>
        <w:tc>
          <w:tcPr>
            <w:tcW w:w="1842" w:type="dxa"/>
          </w:tcPr>
          <w:p w14:paraId="38A8F6C8"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Cropland and pasture</w:t>
            </w:r>
          </w:p>
        </w:tc>
        <w:tc>
          <w:tcPr>
            <w:tcW w:w="2268" w:type="dxa"/>
          </w:tcPr>
          <w:p w14:paraId="4510312B"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Only cropland</w:t>
            </w:r>
          </w:p>
        </w:tc>
      </w:tr>
      <w:tr w:rsidR="00981695" w14:paraId="3D4B4D14" w14:textId="77777777" w:rsidTr="00F7266B">
        <w:trPr>
          <w:trHeight w:val="352"/>
        </w:trPr>
        <w:tc>
          <w:tcPr>
            <w:tcW w:w="1271" w:type="dxa"/>
            <w:gridSpan w:val="2"/>
            <w:vMerge w:val="restart"/>
          </w:tcPr>
          <w:p w14:paraId="0D931C9C"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P inputs</w:t>
            </w:r>
          </w:p>
        </w:tc>
        <w:tc>
          <w:tcPr>
            <w:tcW w:w="1843" w:type="dxa"/>
            <w:tcBorders>
              <w:bottom w:val="nil"/>
            </w:tcBorders>
            <w:vAlign w:val="center"/>
          </w:tcPr>
          <w:p w14:paraId="5FBD37E7"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P deposition input</w:t>
            </w:r>
          </w:p>
        </w:tc>
        <w:tc>
          <w:tcPr>
            <w:tcW w:w="1417" w:type="dxa"/>
            <w:gridSpan w:val="2"/>
            <w:tcBorders>
              <w:bottom w:val="nil"/>
            </w:tcBorders>
            <w:vAlign w:val="center"/>
          </w:tcPr>
          <w:p w14:paraId="791691B3"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3.8</w:t>
            </w:r>
          </w:p>
        </w:tc>
        <w:tc>
          <w:tcPr>
            <w:tcW w:w="1842" w:type="dxa"/>
            <w:tcBorders>
              <w:bottom w:val="nil"/>
            </w:tcBorders>
          </w:tcPr>
          <w:p w14:paraId="71E078BC"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1.4</w:t>
            </w:r>
          </w:p>
        </w:tc>
        <w:tc>
          <w:tcPr>
            <w:tcW w:w="2268" w:type="dxa"/>
            <w:tcBorders>
              <w:bottom w:val="nil"/>
            </w:tcBorders>
          </w:tcPr>
          <w:p w14:paraId="4B84B61D"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w:t>
            </w:r>
          </w:p>
        </w:tc>
      </w:tr>
      <w:tr w:rsidR="00981695" w14:paraId="73CADAD2" w14:textId="77777777" w:rsidTr="00F7266B">
        <w:trPr>
          <w:trHeight w:val="352"/>
        </w:trPr>
        <w:tc>
          <w:tcPr>
            <w:tcW w:w="1271" w:type="dxa"/>
            <w:gridSpan w:val="2"/>
            <w:vMerge/>
            <w:tcBorders>
              <w:right w:val="nil"/>
            </w:tcBorders>
          </w:tcPr>
          <w:p w14:paraId="0CD8CA3E" w14:textId="77777777" w:rsidR="00981695" w:rsidRDefault="00981695" w:rsidP="00655228">
            <w:pPr>
              <w:widowControl w:val="0"/>
              <w:pBdr>
                <w:top w:val="nil"/>
                <w:left w:val="nil"/>
                <w:bottom w:val="nil"/>
                <w:right w:val="nil"/>
                <w:between w:val="nil"/>
              </w:pBdr>
              <w:spacing w:line="276" w:lineRule="auto"/>
              <w:rPr>
                <w:rFonts w:ascii="Times New Roman" w:eastAsia="Times New Roman" w:hAnsi="Times New Roman" w:cs="Times New Roman"/>
                <w:color w:val="000000"/>
                <w:sz w:val="22"/>
                <w:szCs w:val="22"/>
              </w:rPr>
            </w:pPr>
          </w:p>
        </w:tc>
        <w:tc>
          <w:tcPr>
            <w:tcW w:w="1843" w:type="dxa"/>
            <w:tcBorders>
              <w:top w:val="nil"/>
              <w:left w:val="nil"/>
              <w:bottom w:val="nil"/>
              <w:right w:val="nil"/>
            </w:tcBorders>
            <w:vAlign w:val="center"/>
          </w:tcPr>
          <w:p w14:paraId="73D3550F"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Sludge P input</w:t>
            </w:r>
          </w:p>
        </w:tc>
        <w:tc>
          <w:tcPr>
            <w:tcW w:w="1417" w:type="dxa"/>
            <w:gridSpan w:val="2"/>
            <w:tcBorders>
              <w:top w:val="nil"/>
              <w:left w:val="nil"/>
              <w:bottom w:val="nil"/>
              <w:right w:val="nil"/>
            </w:tcBorders>
            <w:vAlign w:val="center"/>
          </w:tcPr>
          <w:p w14:paraId="0D73048F"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w:t>
            </w:r>
          </w:p>
        </w:tc>
        <w:tc>
          <w:tcPr>
            <w:tcW w:w="1842" w:type="dxa"/>
            <w:tcBorders>
              <w:top w:val="nil"/>
              <w:left w:val="nil"/>
              <w:bottom w:val="nil"/>
              <w:right w:val="nil"/>
            </w:tcBorders>
          </w:tcPr>
          <w:p w14:paraId="108288D7"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1.4</w:t>
            </w:r>
          </w:p>
        </w:tc>
        <w:tc>
          <w:tcPr>
            <w:tcW w:w="2268" w:type="dxa"/>
            <w:tcBorders>
              <w:top w:val="nil"/>
              <w:left w:val="nil"/>
              <w:bottom w:val="nil"/>
              <w:right w:val="nil"/>
            </w:tcBorders>
          </w:tcPr>
          <w:p w14:paraId="7AC85DFE"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1.2</w:t>
            </w:r>
          </w:p>
        </w:tc>
      </w:tr>
      <w:tr w:rsidR="00981695" w14:paraId="76340236" w14:textId="77777777" w:rsidTr="00F7266B">
        <w:trPr>
          <w:trHeight w:val="352"/>
        </w:trPr>
        <w:tc>
          <w:tcPr>
            <w:tcW w:w="1271" w:type="dxa"/>
            <w:gridSpan w:val="2"/>
            <w:vMerge/>
            <w:tcBorders>
              <w:right w:val="nil"/>
            </w:tcBorders>
          </w:tcPr>
          <w:p w14:paraId="4839ACBD" w14:textId="77777777" w:rsidR="00981695" w:rsidRDefault="00981695" w:rsidP="00655228">
            <w:pPr>
              <w:widowControl w:val="0"/>
              <w:pBdr>
                <w:top w:val="nil"/>
                <w:left w:val="nil"/>
                <w:bottom w:val="nil"/>
                <w:right w:val="nil"/>
                <w:between w:val="nil"/>
              </w:pBdr>
              <w:spacing w:line="276" w:lineRule="auto"/>
              <w:rPr>
                <w:rFonts w:ascii="Times New Roman" w:eastAsia="Times New Roman" w:hAnsi="Times New Roman" w:cs="Times New Roman"/>
                <w:color w:val="000000"/>
                <w:sz w:val="22"/>
                <w:szCs w:val="22"/>
              </w:rPr>
            </w:pPr>
          </w:p>
        </w:tc>
        <w:tc>
          <w:tcPr>
            <w:tcW w:w="1843" w:type="dxa"/>
            <w:tcBorders>
              <w:top w:val="nil"/>
              <w:left w:val="nil"/>
              <w:bottom w:val="nil"/>
              <w:right w:val="nil"/>
            </w:tcBorders>
            <w:vAlign w:val="center"/>
          </w:tcPr>
          <w:p w14:paraId="67A4B1A3"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 Chemical fertilizer P input</w:t>
            </w:r>
          </w:p>
        </w:tc>
        <w:tc>
          <w:tcPr>
            <w:tcW w:w="1417" w:type="dxa"/>
            <w:gridSpan w:val="2"/>
            <w:tcBorders>
              <w:top w:val="nil"/>
              <w:left w:val="nil"/>
              <w:bottom w:val="nil"/>
              <w:right w:val="nil"/>
            </w:tcBorders>
            <w:vAlign w:val="center"/>
          </w:tcPr>
          <w:p w14:paraId="343FB865"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20.1</w:t>
            </w:r>
          </w:p>
        </w:tc>
        <w:tc>
          <w:tcPr>
            <w:tcW w:w="1842" w:type="dxa"/>
            <w:tcBorders>
              <w:top w:val="nil"/>
              <w:left w:val="nil"/>
              <w:bottom w:val="nil"/>
              <w:right w:val="nil"/>
            </w:tcBorders>
          </w:tcPr>
          <w:p w14:paraId="0B91D00A"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16.8</w:t>
            </w:r>
          </w:p>
        </w:tc>
        <w:tc>
          <w:tcPr>
            <w:tcW w:w="2268" w:type="dxa"/>
            <w:tcBorders>
              <w:top w:val="nil"/>
              <w:left w:val="nil"/>
              <w:bottom w:val="nil"/>
              <w:right w:val="nil"/>
            </w:tcBorders>
          </w:tcPr>
          <w:p w14:paraId="73E6BED6"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17</w:t>
            </w:r>
          </w:p>
        </w:tc>
      </w:tr>
      <w:tr w:rsidR="00981695" w14:paraId="349D6C5D" w14:textId="77777777" w:rsidTr="00F7266B">
        <w:trPr>
          <w:trHeight w:val="352"/>
        </w:trPr>
        <w:tc>
          <w:tcPr>
            <w:tcW w:w="1271" w:type="dxa"/>
            <w:gridSpan w:val="2"/>
            <w:vMerge/>
          </w:tcPr>
          <w:p w14:paraId="4445D62A" w14:textId="77777777" w:rsidR="00981695" w:rsidRDefault="00981695" w:rsidP="00655228">
            <w:pPr>
              <w:widowControl w:val="0"/>
              <w:pBdr>
                <w:top w:val="nil"/>
                <w:left w:val="nil"/>
                <w:bottom w:val="nil"/>
                <w:right w:val="nil"/>
                <w:between w:val="nil"/>
              </w:pBdr>
              <w:spacing w:line="276" w:lineRule="auto"/>
              <w:rPr>
                <w:rFonts w:ascii="Times New Roman" w:eastAsia="Times New Roman" w:hAnsi="Times New Roman" w:cs="Times New Roman"/>
                <w:color w:val="000000"/>
                <w:sz w:val="22"/>
                <w:szCs w:val="22"/>
              </w:rPr>
            </w:pPr>
          </w:p>
        </w:tc>
        <w:tc>
          <w:tcPr>
            <w:tcW w:w="1843" w:type="dxa"/>
            <w:tcBorders>
              <w:top w:val="nil"/>
            </w:tcBorders>
            <w:vAlign w:val="center"/>
          </w:tcPr>
          <w:p w14:paraId="4635EF89"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Manure P input</w:t>
            </w:r>
          </w:p>
        </w:tc>
        <w:tc>
          <w:tcPr>
            <w:tcW w:w="1417" w:type="dxa"/>
            <w:gridSpan w:val="2"/>
            <w:tcBorders>
              <w:top w:val="nil"/>
            </w:tcBorders>
            <w:vAlign w:val="center"/>
          </w:tcPr>
          <w:p w14:paraId="1E33324A"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6.7</w:t>
            </w:r>
          </w:p>
        </w:tc>
        <w:tc>
          <w:tcPr>
            <w:tcW w:w="1842" w:type="dxa"/>
            <w:tcBorders>
              <w:top w:val="nil"/>
            </w:tcBorders>
          </w:tcPr>
          <w:p w14:paraId="2D1CFA5B"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19.8</w:t>
            </w:r>
          </w:p>
        </w:tc>
        <w:tc>
          <w:tcPr>
            <w:tcW w:w="2268" w:type="dxa"/>
            <w:tcBorders>
              <w:top w:val="nil"/>
            </w:tcBorders>
          </w:tcPr>
          <w:p w14:paraId="4BBD34BF"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5.9</w:t>
            </w:r>
          </w:p>
        </w:tc>
      </w:tr>
      <w:tr w:rsidR="00981695" w14:paraId="7074C1FA" w14:textId="77777777" w:rsidTr="00F7266B">
        <w:trPr>
          <w:trHeight w:val="352"/>
        </w:trPr>
        <w:tc>
          <w:tcPr>
            <w:tcW w:w="1271" w:type="dxa"/>
            <w:gridSpan w:val="2"/>
            <w:vMerge w:val="restart"/>
          </w:tcPr>
          <w:p w14:paraId="1652F19F"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P outputs</w:t>
            </w:r>
          </w:p>
        </w:tc>
        <w:tc>
          <w:tcPr>
            <w:tcW w:w="1843" w:type="dxa"/>
            <w:tcBorders>
              <w:bottom w:val="nil"/>
            </w:tcBorders>
            <w:vAlign w:val="center"/>
          </w:tcPr>
          <w:p w14:paraId="070C1F55"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P leaching</w:t>
            </w:r>
          </w:p>
        </w:tc>
        <w:tc>
          <w:tcPr>
            <w:tcW w:w="1417" w:type="dxa"/>
            <w:gridSpan w:val="2"/>
            <w:tcBorders>
              <w:bottom w:val="nil"/>
            </w:tcBorders>
            <w:vAlign w:val="center"/>
          </w:tcPr>
          <w:p w14:paraId="771AA6B0"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3.8</w:t>
            </w:r>
          </w:p>
        </w:tc>
        <w:tc>
          <w:tcPr>
            <w:tcW w:w="1842" w:type="dxa"/>
            <w:tcBorders>
              <w:bottom w:val="nil"/>
            </w:tcBorders>
          </w:tcPr>
          <w:p w14:paraId="5479B196"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w:t>
            </w:r>
          </w:p>
        </w:tc>
        <w:tc>
          <w:tcPr>
            <w:tcW w:w="2268" w:type="dxa"/>
            <w:tcBorders>
              <w:bottom w:val="nil"/>
            </w:tcBorders>
          </w:tcPr>
          <w:p w14:paraId="5B9EA6E0"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w:t>
            </w:r>
          </w:p>
        </w:tc>
      </w:tr>
      <w:tr w:rsidR="00981695" w14:paraId="2EF52BB6" w14:textId="77777777" w:rsidTr="00F7266B">
        <w:trPr>
          <w:trHeight w:val="352"/>
        </w:trPr>
        <w:tc>
          <w:tcPr>
            <w:tcW w:w="1271" w:type="dxa"/>
            <w:gridSpan w:val="2"/>
            <w:vMerge/>
            <w:tcBorders>
              <w:right w:val="nil"/>
            </w:tcBorders>
          </w:tcPr>
          <w:p w14:paraId="4A429585" w14:textId="77777777" w:rsidR="00981695" w:rsidRDefault="00981695" w:rsidP="00655228">
            <w:pPr>
              <w:widowControl w:val="0"/>
              <w:pBdr>
                <w:top w:val="nil"/>
                <w:left w:val="nil"/>
                <w:bottom w:val="nil"/>
                <w:right w:val="nil"/>
                <w:between w:val="nil"/>
              </w:pBdr>
              <w:spacing w:line="276" w:lineRule="auto"/>
              <w:rPr>
                <w:rFonts w:ascii="Times New Roman" w:eastAsia="Times New Roman" w:hAnsi="Times New Roman" w:cs="Times New Roman"/>
                <w:color w:val="000000"/>
                <w:sz w:val="22"/>
                <w:szCs w:val="22"/>
              </w:rPr>
            </w:pPr>
          </w:p>
        </w:tc>
        <w:tc>
          <w:tcPr>
            <w:tcW w:w="1843" w:type="dxa"/>
            <w:tcBorders>
              <w:top w:val="nil"/>
              <w:left w:val="nil"/>
              <w:bottom w:val="nil"/>
              <w:right w:val="nil"/>
            </w:tcBorders>
            <w:vAlign w:val="center"/>
          </w:tcPr>
          <w:p w14:paraId="776EF956"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P leaching from natural land</w:t>
            </w:r>
          </w:p>
        </w:tc>
        <w:tc>
          <w:tcPr>
            <w:tcW w:w="1417" w:type="dxa"/>
            <w:gridSpan w:val="2"/>
            <w:tcBorders>
              <w:top w:val="nil"/>
              <w:left w:val="nil"/>
              <w:bottom w:val="nil"/>
              <w:right w:val="nil"/>
            </w:tcBorders>
            <w:vAlign w:val="center"/>
          </w:tcPr>
          <w:p w14:paraId="77605944"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0.38</w:t>
            </w:r>
          </w:p>
        </w:tc>
        <w:tc>
          <w:tcPr>
            <w:tcW w:w="1842" w:type="dxa"/>
            <w:tcBorders>
              <w:top w:val="nil"/>
              <w:left w:val="nil"/>
              <w:bottom w:val="nil"/>
              <w:right w:val="nil"/>
            </w:tcBorders>
          </w:tcPr>
          <w:p w14:paraId="464D7DD0"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w:t>
            </w:r>
          </w:p>
        </w:tc>
        <w:tc>
          <w:tcPr>
            <w:tcW w:w="2268" w:type="dxa"/>
            <w:tcBorders>
              <w:top w:val="nil"/>
              <w:left w:val="nil"/>
              <w:bottom w:val="nil"/>
              <w:right w:val="nil"/>
            </w:tcBorders>
          </w:tcPr>
          <w:p w14:paraId="25E074FF"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w:t>
            </w:r>
          </w:p>
        </w:tc>
      </w:tr>
      <w:tr w:rsidR="00981695" w14:paraId="374E7617" w14:textId="77777777" w:rsidTr="00F7266B">
        <w:trPr>
          <w:trHeight w:val="352"/>
        </w:trPr>
        <w:tc>
          <w:tcPr>
            <w:tcW w:w="1271" w:type="dxa"/>
            <w:gridSpan w:val="2"/>
            <w:vMerge/>
            <w:tcBorders>
              <w:right w:val="nil"/>
            </w:tcBorders>
          </w:tcPr>
          <w:p w14:paraId="0E9AAD20" w14:textId="77777777" w:rsidR="00981695" w:rsidRDefault="00981695" w:rsidP="00655228">
            <w:pPr>
              <w:widowControl w:val="0"/>
              <w:pBdr>
                <w:top w:val="nil"/>
                <w:left w:val="nil"/>
                <w:bottom w:val="nil"/>
                <w:right w:val="nil"/>
                <w:between w:val="nil"/>
              </w:pBdr>
              <w:spacing w:line="276" w:lineRule="auto"/>
              <w:rPr>
                <w:rFonts w:ascii="Times New Roman" w:eastAsia="Times New Roman" w:hAnsi="Times New Roman" w:cs="Times New Roman"/>
                <w:color w:val="000000"/>
                <w:sz w:val="22"/>
                <w:szCs w:val="22"/>
              </w:rPr>
            </w:pPr>
          </w:p>
        </w:tc>
        <w:tc>
          <w:tcPr>
            <w:tcW w:w="1843" w:type="dxa"/>
            <w:tcBorders>
              <w:top w:val="nil"/>
              <w:left w:val="nil"/>
              <w:bottom w:val="nil"/>
              <w:right w:val="nil"/>
            </w:tcBorders>
            <w:vAlign w:val="center"/>
          </w:tcPr>
          <w:p w14:paraId="5EF06D74"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P leaching from managed land</w:t>
            </w:r>
          </w:p>
        </w:tc>
        <w:tc>
          <w:tcPr>
            <w:tcW w:w="1417" w:type="dxa"/>
            <w:gridSpan w:val="2"/>
            <w:tcBorders>
              <w:top w:val="nil"/>
              <w:left w:val="nil"/>
              <w:bottom w:val="nil"/>
              <w:right w:val="nil"/>
            </w:tcBorders>
            <w:vAlign w:val="center"/>
          </w:tcPr>
          <w:p w14:paraId="48A3EA42"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3.3</w:t>
            </w:r>
          </w:p>
        </w:tc>
        <w:tc>
          <w:tcPr>
            <w:tcW w:w="1842" w:type="dxa"/>
            <w:tcBorders>
              <w:top w:val="nil"/>
              <w:left w:val="nil"/>
              <w:bottom w:val="nil"/>
              <w:right w:val="nil"/>
            </w:tcBorders>
          </w:tcPr>
          <w:p w14:paraId="535ECE20"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w:t>
            </w:r>
          </w:p>
        </w:tc>
        <w:tc>
          <w:tcPr>
            <w:tcW w:w="2268" w:type="dxa"/>
            <w:tcBorders>
              <w:top w:val="nil"/>
              <w:left w:val="nil"/>
              <w:bottom w:val="nil"/>
              <w:right w:val="nil"/>
            </w:tcBorders>
          </w:tcPr>
          <w:p w14:paraId="77168DE5"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w:t>
            </w:r>
          </w:p>
        </w:tc>
      </w:tr>
      <w:tr w:rsidR="00981695" w14:paraId="7A72323F" w14:textId="77777777" w:rsidTr="00F7266B">
        <w:trPr>
          <w:trHeight w:val="352"/>
        </w:trPr>
        <w:tc>
          <w:tcPr>
            <w:tcW w:w="1271" w:type="dxa"/>
            <w:gridSpan w:val="2"/>
            <w:vMerge/>
            <w:tcBorders>
              <w:right w:val="nil"/>
            </w:tcBorders>
          </w:tcPr>
          <w:p w14:paraId="58151969" w14:textId="77777777" w:rsidR="00981695" w:rsidRDefault="00981695" w:rsidP="00655228">
            <w:pPr>
              <w:widowControl w:val="0"/>
              <w:pBdr>
                <w:top w:val="nil"/>
                <w:left w:val="nil"/>
                <w:bottom w:val="nil"/>
                <w:right w:val="nil"/>
                <w:between w:val="nil"/>
              </w:pBdr>
              <w:spacing w:line="276" w:lineRule="auto"/>
              <w:rPr>
                <w:rFonts w:ascii="Times New Roman" w:eastAsia="Times New Roman" w:hAnsi="Times New Roman" w:cs="Times New Roman"/>
                <w:color w:val="000000"/>
                <w:sz w:val="22"/>
                <w:szCs w:val="22"/>
              </w:rPr>
            </w:pPr>
          </w:p>
        </w:tc>
        <w:tc>
          <w:tcPr>
            <w:tcW w:w="1843" w:type="dxa"/>
            <w:tcBorders>
              <w:top w:val="nil"/>
              <w:left w:val="nil"/>
              <w:bottom w:val="nil"/>
              <w:right w:val="nil"/>
            </w:tcBorders>
            <w:vAlign w:val="center"/>
          </w:tcPr>
          <w:p w14:paraId="3C7CAECE"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P erosion loss</w:t>
            </w:r>
          </w:p>
        </w:tc>
        <w:tc>
          <w:tcPr>
            <w:tcW w:w="1417" w:type="dxa"/>
            <w:gridSpan w:val="2"/>
            <w:tcBorders>
              <w:top w:val="nil"/>
              <w:left w:val="nil"/>
              <w:bottom w:val="nil"/>
              <w:right w:val="nil"/>
            </w:tcBorders>
            <w:vAlign w:val="center"/>
          </w:tcPr>
          <w:p w14:paraId="164AF0A0"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w:t>
            </w:r>
          </w:p>
        </w:tc>
        <w:tc>
          <w:tcPr>
            <w:tcW w:w="1842" w:type="dxa"/>
            <w:tcBorders>
              <w:top w:val="nil"/>
              <w:left w:val="nil"/>
              <w:bottom w:val="nil"/>
              <w:right w:val="nil"/>
            </w:tcBorders>
          </w:tcPr>
          <w:p w14:paraId="53FDF128"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w:t>
            </w:r>
          </w:p>
        </w:tc>
        <w:tc>
          <w:tcPr>
            <w:tcW w:w="2268" w:type="dxa"/>
            <w:tcBorders>
              <w:top w:val="nil"/>
              <w:left w:val="nil"/>
              <w:bottom w:val="nil"/>
              <w:right w:val="nil"/>
            </w:tcBorders>
          </w:tcPr>
          <w:p w14:paraId="50196CDD"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w:t>
            </w:r>
          </w:p>
        </w:tc>
      </w:tr>
      <w:tr w:rsidR="00981695" w14:paraId="018E32E2" w14:textId="77777777" w:rsidTr="00F7266B">
        <w:trPr>
          <w:trHeight w:val="352"/>
        </w:trPr>
        <w:tc>
          <w:tcPr>
            <w:tcW w:w="1271" w:type="dxa"/>
            <w:gridSpan w:val="2"/>
            <w:vMerge/>
            <w:tcBorders>
              <w:right w:val="nil"/>
            </w:tcBorders>
          </w:tcPr>
          <w:p w14:paraId="09FEA489" w14:textId="77777777" w:rsidR="00981695" w:rsidRDefault="00981695" w:rsidP="00655228">
            <w:pPr>
              <w:widowControl w:val="0"/>
              <w:pBdr>
                <w:top w:val="nil"/>
                <w:left w:val="nil"/>
                <w:bottom w:val="nil"/>
                <w:right w:val="nil"/>
                <w:between w:val="nil"/>
              </w:pBdr>
              <w:spacing w:line="276" w:lineRule="auto"/>
              <w:rPr>
                <w:rFonts w:ascii="Times New Roman" w:eastAsia="Times New Roman" w:hAnsi="Times New Roman" w:cs="Times New Roman"/>
                <w:color w:val="000000"/>
                <w:sz w:val="22"/>
                <w:szCs w:val="22"/>
              </w:rPr>
            </w:pPr>
          </w:p>
        </w:tc>
        <w:tc>
          <w:tcPr>
            <w:tcW w:w="1843" w:type="dxa"/>
            <w:tcBorders>
              <w:top w:val="nil"/>
              <w:left w:val="nil"/>
              <w:bottom w:val="nil"/>
              <w:right w:val="nil"/>
            </w:tcBorders>
            <w:vAlign w:val="center"/>
          </w:tcPr>
          <w:p w14:paraId="08FAC2D0"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P runoff and leaching loss</w:t>
            </w:r>
          </w:p>
        </w:tc>
        <w:tc>
          <w:tcPr>
            <w:tcW w:w="1417" w:type="dxa"/>
            <w:gridSpan w:val="2"/>
            <w:tcBorders>
              <w:top w:val="nil"/>
              <w:left w:val="nil"/>
              <w:bottom w:val="nil"/>
              <w:right w:val="nil"/>
            </w:tcBorders>
            <w:vAlign w:val="center"/>
          </w:tcPr>
          <w:p w14:paraId="17104B08"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3.8</w:t>
            </w:r>
          </w:p>
        </w:tc>
        <w:tc>
          <w:tcPr>
            <w:tcW w:w="1842" w:type="dxa"/>
            <w:tcBorders>
              <w:top w:val="nil"/>
              <w:left w:val="nil"/>
              <w:bottom w:val="nil"/>
              <w:right w:val="nil"/>
            </w:tcBorders>
          </w:tcPr>
          <w:p w14:paraId="671B1E7D"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5.4</w:t>
            </w:r>
          </w:p>
        </w:tc>
        <w:tc>
          <w:tcPr>
            <w:tcW w:w="2268" w:type="dxa"/>
            <w:tcBorders>
              <w:top w:val="nil"/>
              <w:left w:val="nil"/>
              <w:bottom w:val="nil"/>
              <w:right w:val="nil"/>
            </w:tcBorders>
          </w:tcPr>
          <w:p w14:paraId="166D7E2D"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w:t>
            </w:r>
          </w:p>
        </w:tc>
      </w:tr>
      <w:tr w:rsidR="00981695" w14:paraId="41F350AE" w14:textId="77777777" w:rsidTr="00F7266B">
        <w:trPr>
          <w:trHeight w:val="352"/>
        </w:trPr>
        <w:tc>
          <w:tcPr>
            <w:tcW w:w="1271" w:type="dxa"/>
            <w:gridSpan w:val="2"/>
            <w:vMerge/>
          </w:tcPr>
          <w:p w14:paraId="4742B3DC" w14:textId="77777777" w:rsidR="00981695" w:rsidRDefault="00981695" w:rsidP="00655228">
            <w:pPr>
              <w:widowControl w:val="0"/>
              <w:pBdr>
                <w:top w:val="nil"/>
                <w:left w:val="nil"/>
                <w:bottom w:val="nil"/>
                <w:right w:val="nil"/>
                <w:between w:val="nil"/>
              </w:pBdr>
              <w:spacing w:line="276" w:lineRule="auto"/>
              <w:rPr>
                <w:rFonts w:ascii="Times New Roman" w:eastAsia="Times New Roman" w:hAnsi="Times New Roman" w:cs="Times New Roman"/>
                <w:color w:val="000000"/>
                <w:sz w:val="22"/>
                <w:szCs w:val="22"/>
              </w:rPr>
            </w:pPr>
          </w:p>
        </w:tc>
        <w:tc>
          <w:tcPr>
            <w:tcW w:w="1843" w:type="dxa"/>
            <w:tcBorders>
              <w:top w:val="nil"/>
            </w:tcBorders>
            <w:vAlign w:val="center"/>
          </w:tcPr>
          <w:p w14:paraId="64FADBC2"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P erosion, leaching and runoff loss</w:t>
            </w:r>
          </w:p>
        </w:tc>
        <w:tc>
          <w:tcPr>
            <w:tcW w:w="1417" w:type="dxa"/>
            <w:gridSpan w:val="2"/>
            <w:tcBorders>
              <w:top w:val="nil"/>
            </w:tcBorders>
            <w:vAlign w:val="center"/>
          </w:tcPr>
          <w:p w14:paraId="06CD88CE"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w:t>
            </w:r>
          </w:p>
        </w:tc>
        <w:tc>
          <w:tcPr>
            <w:tcW w:w="1842" w:type="dxa"/>
            <w:tcBorders>
              <w:top w:val="nil"/>
            </w:tcBorders>
          </w:tcPr>
          <w:p w14:paraId="16060CD2" w14:textId="77777777" w:rsidR="00981695" w:rsidRDefault="00981695" w:rsidP="00655228">
            <w:pPr>
              <w:spacing w:line="360" w:lineRule="auto"/>
              <w:jc w:val="center"/>
              <w:rPr>
                <w:rFonts w:ascii="Times New Roman" w:eastAsia="Times New Roman" w:hAnsi="Times New Roman" w:cs="Times New Roman"/>
                <w:color w:val="000000"/>
                <w:sz w:val="22"/>
                <w:szCs w:val="22"/>
              </w:rPr>
            </w:pPr>
          </w:p>
        </w:tc>
        <w:tc>
          <w:tcPr>
            <w:tcW w:w="2268" w:type="dxa"/>
            <w:tcBorders>
              <w:top w:val="nil"/>
            </w:tcBorders>
          </w:tcPr>
          <w:p w14:paraId="0126A0CC"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0.6</w:t>
            </w:r>
          </w:p>
        </w:tc>
      </w:tr>
      <w:tr w:rsidR="00981695" w14:paraId="5D682D12" w14:textId="77777777" w:rsidTr="00E729F9">
        <w:trPr>
          <w:trHeight w:val="318"/>
        </w:trPr>
        <w:tc>
          <w:tcPr>
            <w:tcW w:w="3693" w:type="dxa"/>
            <w:gridSpan w:val="4"/>
            <w:tcBorders>
              <w:bottom w:val="single" w:sz="12" w:space="0" w:color="auto"/>
            </w:tcBorders>
          </w:tcPr>
          <w:p w14:paraId="2E6B0140"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P erosion-runoff-leaching to freshwater from diffuse sources</w:t>
            </w:r>
          </w:p>
        </w:tc>
        <w:tc>
          <w:tcPr>
            <w:tcW w:w="838" w:type="dxa"/>
            <w:tcBorders>
              <w:bottom w:val="single" w:sz="12" w:space="0" w:color="auto"/>
            </w:tcBorders>
            <w:vAlign w:val="center"/>
          </w:tcPr>
          <w:p w14:paraId="5A1BB19D" w14:textId="77777777" w:rsidR="00981695" w:rsidRDefault="00981695" w:rsidP="00655228">
            <w:pPr>
              <w:spacing w:line="360" w:lineRule="auto"/>
              <w:jc w:val="center"/>
              <w:rPr>
                <w:rFonts w:ascii="Times New Roman" w:eastAsia="Times New Roman" w:hAnsi="Times New Roman" w:cs="Times New Roman"/>
                <w:color w:val="000000"/>
                <w:sz w:val="22"/>
                <w:szCs w:val="22"/>
              </w:rPr>
            </w:pPr>
          </w:p>
        </w:tc>
        <w:tc>
          <w:tcPr>
            <w:tcW w:w="1842" w:type="dxa"/>
            <w:tcBorders>
              <w:bottom w:val="single" w:sz="12" w:space="0" w:color="auto"/>
            </w:tcBorders>
          </w:tcPr>
          <w:p w14:paraId="7379CB2B"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12.5%</w:t>
            </w:r>
          </w:p>
        </w:tc>
        <w:tc>
          <w:tcPr>
            <w:tcW w:w="2268" w:type="dxa"/>
            <w:tcBorders>
              <w:bottom w:val="single" w:sz="12" w:space="0" w:color="auto"/>
            </w:tcBorders>
          </w:tcPr>
          <w:p w14:paraId="2274297C" w14:textId="77777777" w:rsidR="00981695" w:rsidRDefault="00981695" w:rsidP="00655228">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2.8%</w:t>
            </w:r>
          </w:p>
        </w:tc>
      </w:tr>
    </w:tbl>
    <w:p w14:paraId="28DF9A2F" w14:textId="77777777" w:rsidR="00134505" w:rsidRDefault="00134505" w:rsidP="00386A6E">
      <w:pPr>
        <w:spacing w:line="360" w:lineRule="auto"/>
        <w:jc w:val="both"/>
        <w:rPr>
          <w:rFonts w:ascii="Times New Roman" w:eastAsia="Times New Roman" w:hAnsi="Times New Roman" w:cs="Times New Roman"/>
          <w:b/>
          <w:color w:val="000000"/>
        </w:rPr>
      </w:pPr>
    </w:p>
    <w:p w14:paraId="55FBB521" w14:textId="77777777" w:rsidR="004A677C" w:rsidRDefault="004A677C">
      <w:pPr>
        <w:rPr>
          <w:rFonts w:ascii="Times New Roman" w:eastAsia="Times New Roman" w:hAnsi="Times New Roman" w:cs="Times New Roman"/>
          <w:b/>
          <w:color w:val="000000"/>
        </w:rPr>
      </w:pPr>
      <w:r>
        <w:rPr>
          <w:rFonts w:ascii="Times New Roman" w:eastAsia="Times New Roman" w:hAnsi="Times New Roman" w:cs="Times New Roman"/>
          <w:b/>
          <w:color w:val="000000"/>
        </w:rPr>
        <w:br w:type="page"/>
      </w:r>
    </w:p>
    <w:p w14:paraId="2A6A1067" w14:textId="79CA92DF" w:rsidR="004A677C" w:rsidRDefault="004A677C" w:rsidP="009A3670">
      <w:pPr>
        <w:rPr>
          <w:rFonts w:ascii="Times New Roman" w:eastAsia="Times New Roman" w:hAnsi="Times New Roman" w:cs="Times New Roman"/>
          <w:color w:val="000000"/>
        </w:rPr>
      </w:pPr>
      <w:r>
        <w:rPr>
          <w:rFonts w:ascii="Times New Roman" w:eastAsia="Times New Roman" w:hAnsi="Times New Roman" w:cs="Times New Roman"/>
          <w:b/>
          <w:color w:val="000000"/>
        </w:rPr>
        <w:lastRenderedPageBreak/>
        <w:t xml:space="preserve">Table S4 </w:t>
      </w:r>
      <w:r>
        <w:rPr>
          <w:rFonts w:ascii="Times New Roman" w:eastAsia="Times New Roman" w:hAnsi="Times New Roman" w:cs="Times New Roman"/>
          <w:color w:val="000000"/>
        </w:rPr>
        <w:t>Averaged N and P load via drainage and runoff (Tg yr</w:t>
      </w:r>
      <w:r>
        <w:rPr>
          <w:rFonts w:ascii="Times New Roman" w:eastAsia="Times New Roman" w:hAnsi="Times New Roman" w:cs="Times New Roman"/>
          <w:color w:val="000000"/>
          <w:vertAlign w:val="superscript"/>
        </w:rPr>
        <w:t>-1</w:t>
      </w:r>
      <w:r>
        <w:rPr>
          <w:rFonts w:ascii="Times New Roman" w:eastAsia="Times New Roman" w:hAnsi="Times New Roman" w:cs="Times New Roman"/>
          <w:color w:val="000000"/>
        </w:rPr>
        <w:t>) over 2002-2010 simulated by ORCHIDEE-CNP and GOLUM-CNP.</w:t>
      </w:r>
    </w:p>
    <w:p w14:paraId="42041643" w14:textId="77777777" w:rsidR="004A677C" w:rsidRDefault="004A677C" w:rsidP="004A677C">
      <w:pPr>
        <w:rPr>
          <w:rFonts w:ascii="Times New Roman" w:eastAsia="Times New Roman" w:hAnsi="Times New Roman" w:cs="Times New Roman"/>
          <w:b/>
          <w:color w:val="000000"/>
          <w:sz w:val="22"/>
          <w:szCs w:val="22"/>
        </w:rPr>
      </w:pPr>
    </w:p>
    <w:tbl>
      <w:tblPr>
        <w:tblW w:w="8195" w:type="dxa"/>
        <w:jc w:val="center"/>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275"/>
        <w:gridCol w:w="1259"/>
        <w:gridCol w:w="1959"/>
        <w:gridCol w:w="1860"/>
        <w:gridCol w:w="1842"/>
      </w:tblGrid>
      <w:tr w:rsidR="004A677C" w14:paraId="1BF4D4D3" w14:textId="77777777" w:rsidTr="00DC3D60">
        <w:trPr>
          <w:trHeight w:val="494"/>
          <w:jc w:val="center"/>
        </w:trPr>
        <w:tc>
          <w:tcPr>
            <w:tcW w:w="1275" w:type="dxa"/>
            <w:tcBorders>
              <w:top w:val="single" w:sz="12" w:space="0" w:color="auto"/>
              <w:left w:val="nil"/>
              <w:bottom w:val="single" w:sz="12" w:space="0" w:color="auto"/>
            </w:tcBorders>
          </w:tcPr>
          <w:p w14:paraId="31D6CFD3" w14:textId="77777777" w:rsidR="004A677C" w:rsidRDefault="004A677C" w:rsidP="002D7105">
            <w:pPr>
              <w:spacing w:line="360" w:lineRule="auto"/>
              <w:jc w:val="both"/>
              <w:rPr>
                <w:rFonts w:ascii="Times New Roman" w:eastAsia="Times New Roman" w:hAnsi="Times New Roman" w:cs="Times New Roman"/>
                <w:color w:val="000000"/>
                <w:sz w:val="21"/>
                <w:szCs w:val="21"/>
              </w:rPr>
            </w:pPr>
          </w:p>
        </w:tc>
        <w:tc>
          <w:tcPr>
            <w:tcW w:w="5078" w:type="dxa"/>
            <w:gridSpan w:val="3"/>
            <w:tcBorders>
              <w:top w:val="single" w:sz="12" w:space="0" w:color="auto"/>
              <w:bottom w:val="single" w:sz="12" w:space="0" w:color="auto"/>
            </w:tcBorders>
            <w:vAlign w:val="center"/>
          </w:tcPr>
          <w:p w14:paraId="18EF9012" w14:textId="77777777" w:rsidR="004A677C" w:rsidRDefault="004A677C" w:rsidP="002D7105">
            <w:pPr>
              <w:spacing w:line="360" w:lineRule="auto"/>
              <w:jc w:val="center"/>
              <w:rPr>
                <w:rFonts w:ascii="Times New Roman" w:eastAsia="Times New Roman" w:hAnsi="Times New Roman" w:cs="Times New Roman"/>
                <w:b/>
                <w:color w:val="000000"/>
                <w:sz w:val="21"/>
                <w:szCs w:val="21"/>
              </w:rPr>
            </w:pPr>
            <w:r>
              <w:rPr>
                <w:rFonts w:ascii="Times New Roman" w:eastAsia="Times New Roman" w:hAnsi="Times New Roman" w:cs="Times New Roman"/>
                <w:b/>
                <w:color w:val="000000"/>
                <w:sz w:val="21"/>
                <w:szCs w:val="21"/>
              </w:rPr>
              <w:t>ORCHIDEE-CNP</w:t>
            </w:r>
          </w:p>
        </w:tc>
        <w:tc>
          <w:tcPr>
            <w:tcW w:w="1842" w:type="dxa"/>
            <w:tcBorders>
              <w:top w:val="single" w:sz="12" w:space="0" w:color="auto"/>
              <w:bottom w:val="single" w:sz="12" w:space="0" w:color="auto"/>
              <w:right w:val="nil"/>
            </w:tcBorders>
            <w:vAlign w:val="center"/>
          </w:tcPr>
          <w:p w14:paraId="3976C1C7" w14:textId="77777777" w:rsidR="004A677C" w:rsidRDefault="004A677C" w:rsidP="002D7105">
            <w:pPr>
              <w:spacing w:line="360" w:lineRule="auto"/>
              <w:jc w:val="center"/>
              <w:rPr>
                <w:rFonts w:ascii="Times New Roman" w:eastAsia="Times New Roman" w:hAnsi="Times New Roman" w:cs="Times New Roman"/>
                <w:b/>
                <w:color w:val="000000"/>
                <w:sz w:val="21"/>
                <w:szCs w:val="21"/>
              </w:rPr>
            </w:pPr>
            <w:r>
              <w:rPr>
                <w:rFonts w:ascii="Times New Roman" w:eastAsia="Times New Roman" w:hAnsi="Times New Roman" w:cs="Times New Roman"/>
                <w:b/>
                <w:color w:val="000000"/>
                <w:sz w:val="21"/>
                <w:szCs w:val="21"/>
              </w:rPr>
              <w:t>GOLUM-CNP</w:t>
            </w:r>
          </w:p>
        </w:tc>
      </w:tr>
      <w:tr w:rsidR="004A677C" w14:paraId="61757020" w14:textId="77777777" w:rsidTr="00DC3D60">
        <w:trPr>
          <w:trHeight w:val="696"/>
          <w:jc w:val="center"/>
        </w:trPr>
        <w:tc>
          <w:tcPr>
            <w:tcW w:w="1275" w:type="dxa"/>
            <w:tcBorders>
              <w:top w:val="single" w:sz="12" w:space="0" w:color="auto"/>
              <w:left w:val="nil"/>
              <w:bottom w:val="nil"/>
            </w:tcBorders>
          </w:tcPr>
          <w:p w14:paraId="1A955ADA" w14:textId="77777777" w:rsidR="004A677C" w:rsidRDefault="004A677C" w:rsidP="002D7105">
            <w:pPr>
              <w:spacing w:line="360" w:lineRule="auto"/>
              <w:jc w:val="both"/>
              <w:rPr>
                <w:rFonts w:ascii="Times New Roman" w:eastAsia="Times New Roman" w:hAnsi="Times New Roman" w:cs="Times New Roman"/>
                <w:color w:val="000000"/>
                <w:sz w:val="21"/>
                <w:szCs w:val="21"/>
              </w:rPr>
            </w:pPr>
          </w:p>
        </w:tc>
        <w:tc>
          <w:tcPr>
            <w:tcW w:w="1259" w:type="dxa"/>
            <w:tcBorders>
              <w:top w:val="single" w:sz="12" w:space="0" w:color="auto"/>
            </w:tcBorders>
          </w:tcPr>
          <w:p w14:paraId="6ECB1983" w14:textId="77777777" w:rsidR="004A677C" w:rsidRDefault="004A677C" w:rsidP="002D7105">
            <w:pPr>
              <w:spacing w:line="360" w:lineRule="auto"/>
              <w:jc w:val="center"/>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ALL</w:t>
            </w:r>
          </w:p>
        </w:tc>
        <w:tc>
          <w:tcPr>
            <w:tcW w:w="1959" w:type="dxa"/>
            <w:tcBorders>
              <w:top w:val="single" w:sz="12" w:space="0" w:color="auto"/>
            </w:tcBorders>
          </w:tcPr>
          <w:p w14:paraId="009E98E6" w14:textId="77777777" w:rsidR="004A677C" w:rsidRDefault="004A677C" w:rsidP="002D7105">
            <w:pPr>
              <w:spacing w:line="360" w:lineRule="auto"/>
              <w:jc w:val="center"/>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Natural biome</w:t>
            </w:r>
          </w:p>
        </w:tc>
        <w:tc>
          <w:tcPr>
            <w:tcW w:w="1860" w:type="dxa"/>
            <w:tcBorders>
              <w:top w:val="single" w:sz="4" w:space="0" w:color="000000"/>
            </w:tcBorders>
          </w:tcPr>
          <w:p w14:paraId="5F5C6F04" w14:textId="77777777" w:rsidR="004A677C" w:rsidRDefault="004A677C" w:rsidP="002D7105">
            <w:pPr>
              <w:spacing w:line="360" w:lineRule="auto"/>
              <w:jc w:val="center"/>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Managed biome</w:t>
            </w:r>
          </w:p>
        </w:tc>
        <w:tc>
          <w:tcPr>
            <w:tcW w:w="1842" w:type="dxa"/>
            <w:tcBorders>
              <w:top w:val="single" w:sz="12" w:space="0" w:color="auto"/>
              <w:bottom w:val="nil"/>
              <w:right w:val="nil"/>
            </w:tcBorders>
            <w:vAlign w:val="center"/>
          </w:tcPr>
          <w:p w14:paraId="781BE6E2" w14:textId="77777777" w:rsidR="004A677C" w:rsidRDefault="004A677C" w:rsidP="002D7105">
            <w:pPr>
              <w:widowControl w:val="0"/>
              <w:pBdr>
                <w:top w:val="nil"/>
                <w:left w:val="nil"/>
                <w:bottom w:val="nil"/>
                <w:right w:val="nil"/>
                <w:between w:val="nil"/>
              </w:pBdr>
              <w:spacing w:line="276" w:lineRule="auto"/>
              <w:rPr>
                <w:rFonts w:ascii="Times New Roman" w:eastAsia="Times New Roman" w:hAnsi="Times New Roman" w:cs="Times New Roman"/>
                <w:color w:val="000000"/>
                <w:sz w:val="21"/>
                <w:szCs w:val="21"/>
              </w:rPr>
            </w:pPr>
          </w:p>
        </w:tc>
      </w:tr>
      <w:tr w:rsidR="004A677C" w14:paraId="215D29B4" w14:textId="77777777" w:rsidTr="00DC3D60">
        <w:trPr>
          <w:trHeight w:val="367"/>
          <w:jc w:val="center"/>
        </w:trPr>
        <w:tc>
          <w:tcPr>
            <w:tcW w:w="1275" w:type="dxa"/>
            <w:tcBorders>
              <w:top w:val="nil"/>
              <w:left w:val="nil"/>
              <w:bottom w:val="nil"/>
            </w:tcBorders>
          </w:tcPr>
          <w:p w14:paraId="715B578F" w14:textId="77777777" w:rsidR="004A677C" w:rsidRDefault="004A677C" w:rsidP="002D7105">
            <w:pPr>
              <w:spacing w:line="360" w:lineRule="auto"/>
              <w:jc w:val="both"/>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N leaching</w:t>
            </w:r>
          </w:p>
        </w:tc>
        <w:tc>
          <w:tcPr>
            <w:tcW w:w="1259" w:type="dxa"/>
          </w:tcPr>
          <w:p w14:paraId="583B0448" w14:textId="77777777" w:rsidR="004A677C" w:rsidRDefault="004A677C" w:rsidP="002D7105">
            <w:pPr>
              <w:spacing w:line="360" w:lineRule="auto"/>
              <w:jc w:val="center"/>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55</w:t>
            </w:r>
          </w:p>
        </w:tc>
        <w:tc>
          <w:tcPr>
            <w:tcW w:w="1959" w:type="dxa"/>
          </w:tcPr>
          <w:p w14:paraId="6B201765" w14:textId="77777777" w:rsidR="004A677C" w:rsidRDefault="004A677C" w:rsidP="002D7105">
            <w:pPr>
              <w:spacing w:line="360" w:lineRule="auto"/>
              <w:jc w:val="center"/>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35</w:t>
            </w:r>
          </w:p>
        </w:tc>
        <w:tc>
          <w:tcPr>
            <w:tcW w:w="1860" w:type="dxa"/>
          </w:tcPr>
          <w:p w14:paraId="492E6458" w14:textId="77777777" w:rsidR="004A677C" w:rsidRDefault="004A677C" w:rsidP="002D7105">
            <w:pPr>
              <w:spacing w:line="360" w:lineRule="auto"/>
              <w:jc w:val="center"/>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20</w:t>
            </w:r>
          </w:p>
        </w:tc>
        <w:tc>
          <w:tcPr>
            <w:tcW w:w="1842" w:type="dxa"/>
            <w:tcBorders>
              <w:top w:val="nil"/>
              <w:bottom w:val="nil"/>
              <w:right w:val="nil"/>
            </w:tcBorders>
          </w:tcPr>
          <w:p w14:paraId="13CC581E" w14:textId="77777777" w:rsidR="004A677C" w:rsidRDefault="004A677C" w:rsidP="002D7105">
            <w:pPr>
              <w:spacing w:line="360" w:lineRule="auto"/>
              <w:jc w:val="center"/>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30</w:t>
            </w:r>
          </w:p>
        </w:tc>
      </w:tr>
      <w:tr w:rsidR="004A677C" w14:paraId="3EC5D41F" w14:textId="77777777" w:rsidTr="00DC3D60">
        <w:trPr>
          <w:trHeight w:val="340"/>
          <w:jc w:val="center"/>
        </w:trPr>
        <w:tc>
          <w:tcPr>
            <w:tcW w:w="1275" w:type="dxa"/>
            <w:tcBorders>
              <w:top w:val="nil"/>
              <w:left w:val="nil"/>
              <w:bottom w:val="single" w:sz="12" w:space="0" w:color="auto"/>
            </w:tcBorders>
          </w:tcPr>
          <w:p w14:paraId="0E1597B7" w14:textId="77777777" w:rsidR="004A677C" w:rsidRDefault="004A677C" w:rsidP="002D7105">
            <w:pPr>
              <w:spacing w:line="360" w:lineRule="auto"/>
              <w:jc w:val="both"/>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P leaching</w:t>
            </w:r>
          </w:p>
        </w:tc>
        <w:tc>
          <w:tcPr>
            <w:tcW w:w="1259" w:type="dxa"/>
            <w:tcBorders>
              <w:bottom w:val="single" w:sz="12" w:space="0" w:color="auto"/>
            </w:tcBorders>
          </w:tcPr>
          <w:p w14:paraId="6D69F93B" w14:textId="77777777" w:rsidR="004A677C" w:rsidRDefault="004A677C" w:rsidP="002D7105">
            <w:pPr>
              <w:spacing w:line="360" w:lineRule="auto"/>
              <w:jc w:val="center"/>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3.5</w:t>
            </w:r>
          </w:p>
        </w:tc>
        <w:tc>
          <w:tcPr>
            <w:tcW w:w="1959" w:type="dxa"/>
            <w:tcBorders>
              <w:bottom w:val="single" w:sz="12" w:space="0" w:color="auto"/>
            </w:tcBorders>
          </w:tcPr>
          <w:p w14:paraId="158B3DA7" w14:textId="77777777" w:rsidR="004A677C" w:rsidRDefault="004A677C" w:rsidP="002D7105">
            <w:pPr>
              <w:spacing w:line="360" w:lineRule="auto"/>
              <w:jc w:val="center"/>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0.38</w:t>
            </w:r>
          </w:p>
        </w:tc>
        <w:tc>
          <w:tcPr>
            <w:tcW w:w="1860" w:type="dxa"/>
            <w:tcBorders>
              <w:bottom w:val="single" w:sz="12" w:space="0" w:color="auto"/>
            </w:tcBorders>
          </w:tcPr>
          <w:p w14:paraId="19C8F4D4" w14:textId="77777777" w:rsidR="004A677C" w:rsidRDefault="004A677C" w:rsidP="002D7105">
            <w:pPr>
              <w:spacing w:line="360" w:lineRule="auto"/>
              <w:jc w:val="center"/>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3.2</w:t>
            </w:r>
          </w:p>
        </w:tc>
        <w:tc>
          <w:tcPr>
            <w:tcW w:w="1842" w:type="dxa"/>
            <w:tcBorders>
              <w:top w:val="nil"/>
              <w:bottom w:val="single" w:sz="12" w:space="0" w:color="auto"/>
              <w:right w:val="nil"/>
            </w:tcBorders>
          </w:tcPr>
          <w:p w14:paraId="4D653598" w14:textId="77777777" w:rsidR="004A677C" w:rsidRDefault="004A677C" w:rsidP="002D7105">
            <w:pPr>
              <w:spacing w:line="360" w:lineRule="auto"/>
              <w:jc w:val="center"/>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0.39</w:t>
            </w:r>
          </w:p>
        </w:tc>
      </w:tr>
    </w:tbl>
    <w:p w14:paraId="4667832D" w14:textId="77777777" w:rsidR="004A677C" w:rsidRDefault="004A677C" w:rsidP="004A677C">
      <w:pPr>
        <w:spacing w:line="360" w:lineRule="auto"/>
        <w:rPr>
          <w:rFonts w:ascii="Times New Roman" w:eastAsia="Times New Roman" w:hAnsi="Times New Roman" w:cs="Times New Roman"/>
          <w:b/>
          <w:color w:val="000000"/>
          <w:sz w:val="22"/>
          <w:szCs w:val="22"/>
        </w:rPr>
      </w:pPr>
    </w:p>
    <w:p w14:paraId="0C202DFE" w14:textId="77777777" w:rsidR="004A677C" w:rsidRDefault="004A677C" w:rsidP="004A677C">
      <w:pPr>
        <w:spacing w:line="360" w:lineRule="auto"/>
        <w:rPr>
          <w:rFonts w:ascii="Times New Roman" w:eastAsia="Times New Roman" w:hAnsi="Times New Roman" w:cs="Times New Roman"/>
          <w:b/>
          <w:color w:val="000000"/>
          <w:sz w:val="22"/>
          <w:szCs w:val="22"/>
        </w:rPr>
      </w:pPr>
    </w:p>
    <w:p w14:paraId="4991182E" w14:textId="77777777" w:rsidR="004A677C" w:rsidRDefault="004A677C" w:rsidP="004A677C">
      <w:pPr>
        <w:spacing w:line="360" w:lineRule="auto"/>
        <w:rPr>
          <w:rFonts w:ascii="Times New Roman" w:eastAsia="Times New Roman" w:hAnsi="Times New Roman" w:cs="Times New Roman"/>
          <w:b/>
          <w:color w:val="000000"/>
          <w:sz w:val="22"/>
          <w:szCs w:val="22"/>
        </w:rPr>
      </w:pPr>
    </w:p>
    <w:p w14:paraId="5E596B4F" w14:textId="7826ADB1" w:rsidR="004A677C" w:rsidRDefault="004A677C" w:rsidP="009A3670">
      <w:pPr>
        <w:rPr>
          <w:rFonts w:ascii="Times New Roman" w:eastAsia="Times New Roman" w:hAnsi="Times New Roman" w:cs="Times New Roman"/>
          <w:color w:val="000000"/>
        </w:rPr>
      </w:pPr>
      <w:r>
        <w:rPr>
          <w:rFonts w:ascii="Times New Roman" w:eastAsia="Times New Roman" w:hAnsi="Times New Roman" w:cs="Times New Roman"/>
          <w:b/>
          <w:color w:val="000000"/>
          <w:sz w:val="22"/>
          <w:szCs w:val="22"/>
        </w:rPr>
        <w:t xml:space="preserve">Table S5 </w:t>
      </w:r>
      <w:r>
        <w:rPr>
          <w:rFonts w:ascii="Times New Roman" w:eastAsia="Times New Roman" w:hAnsi="Times New Roman" w:cs="Times New Roman"/>
          <w:color w:val="000000"/>
        </w:rPr>
        <w:t>Inorganic sorption dynamic parameters for Oxisols, Molisols and other soils in ORCHIDEE-CNP.</w:t>
      </w:r>
    </w:p>
    <w:p w14:paraId="305EBCB9" w14:textId="77777777" w:rsidR="009A3670" w:rsidRDefault="009A3670" w:rsidP="009A3670">
      <w:pPr>
        <w:rPr>
          <w:rFonts w:ascii="Times New Roman" w:eastAsia="Times New Roman" w:hAnsi="Times New Roman" w:cs="Times New Roman"/>
          <w:color w:val="000000"/>
        </w:rPr>
      </w:pPr>
    </w:p>
    <w:tbl>
      <w:tblPr>
        <w:tblW w:w="9020" w:type="dxa"/>
        <w:tblBorders>
          <w:top w:val="single" w:sz="4" w:space="0" w:color="7F7F7F"/>
          <w:left w:val="nil"/>
          <w:bottom w:val="single" w:sz="4" w:space="0" w:color="7F7F7F"/>
          <w:right w:val="nil"/>
          <w:insideH w:val="single" w:sz="4" w:space="0" w:color="000000"/>
          <w:insideV w:val="nil"/>
        </w:tblBorders>
        <w:tblLayout w:type="fixed"/>
        <w:tblLook w:val="0400" w:firstRow="0" w:lastRow="0" w:firstColumn="0" w:lastColumn="0" w:noHBand="0" w:noVBand="1"/>
      </w:tblPr>
      <w:tblGrid>
        <w:gridCol w:w="2927"/>
        <w:gridCol w:w="1078"/>
        <w:gridCol w:w="1240"/>
        <w:gridCol w:w="1276"/>
        <w:gridCol w:w="2499"/>
      </w:tblGrid>
      <w:tr w:rsidR="004A677C" w14:paraId="67FD74B7" w14:textId="77777777" w:rsidTr="00DC3D60">
        <w:trPr>
          <w:trHeight w:val="440"/>
        </w:trPr>
        <w:tc>
          <w:tcPr>
            <w:tcW w:w="2927" w:type="dxa"/>
            <w:tcBorders>
              <w:top w:val="single" w:sz="12" w:space="0" w:color="auto"/>
              <w:bottom w:val="single" w:sz="12" w:space="0" w:color="auto"/>
            </w:tcBorders>
            <w:vAlign w:val="center"/>
          </w:tcPr>
          <w:p w14:paraId="2776A44C" w14:textId="77777777" w:rsidR="004A677C" w:rsidRDefault="004A677C" w:rsidP="002D7105">
            <w:pPr>
              <w:spacing w:line="360" w:lineRule="auto"/>
              <w:jc w:val="center"/>
              <w:rPr>
                <w:rFonts w:ascii="Times New Roman" w:eastAsia="Times New Roman" w:hAnsi="Times New Roman" w:cs="Times New Roman"/>
                <w:color w:val="000000"/>
                <w:sz w:val="22"/>
                <w:szCs w:val="22"/>
              </w:rPr>
            </w:pPr>
          </w:p>
        </w:tc>
        <w:tc>
          <w:tcPr>
            <w:tcW w:w="1078" w:type="dxa"/>
            <w:tcBorders>
              <w:top w:val="single" w:sz="12" w:space="0" w:color="auto"/>
              <w:bottom w:val="single" w:sz="12" w:space="0" w:color="auto"/>
            </w:tcBorders>
            <w:vAlign w:val="center"/>
          </w:tcPr>
          <w:p w14:paraId="0D89AEFC" w14:textId="77777777" w:rsidR="004A677C" w:rsidRDefault="004A677C" w:rsidP="002D7105">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Oxisols</w:t>
            </w:r>
          </w:p>
        </w:tc>
        <w:tc>
          <w:tcPr>
            <w:tcW w:w="1240" w:type="dxa"/>
            <w:tcBorders>
              <w:top w:val="single" w:sz="12" w:space="0" w:color="auto"/>
              <w:bottom w:val="single" w:sz="12" w:space="0" w:color="auto"/>
            </w:tcBorders>
            <w:vAlign w:val="center"/>
          </w:tcPr>
          <w:p w14:paraId="760AB5F0" w14:textId="77777777" w:rsidR="004A677C" w:rsidRDefault="004A677C" w:rsidP="002D7105">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Molisols</w:t>
            </w:r>
          </w:p>
        </w:tc>
        <w:tc>
          <w:tcPr>
            <w:tcW w:w="1276" w:type="dxa"/>
            <w:tcBorders>
              <w:top w:val="single" w:sz="12" w:space="0" w:color="auto"/>
              <w:bottom w:val="single" w:sz="12" w:space="0" w:color="auto"/>
            </w:tcBorders>
            <w:vAlign w:val="center"/>
          </w:tcPr>
          <w:p w14:paraId="13F2A177" w14:textId="77777777" w:rsidR="004A677C" w:rsidRDefault="004A677C" w:rsidP="002D7105">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Other soils</w:t>
            </w:r>
          </w:p>
        </w:tc>
        <w:tc>
          <w:tcPr>
            <w:tcW w:w="2499" w:type="dxa"/>
            <w:tcBorders>
              <w:top w:val="single" w:sz="12" w:space="0" w:color="auto"/>
              <w:bottom w:val="single" w:sz="12" w:space="0" w:color="auto"/>
            </w:tcBorders>
            <w:vAlign w:val="center"/>
          </w:tcPr>
          <w:p w14:paraId="5E290DA6" w14:textId="77777777" w:rsidR="004A677C" w:rsidRDefault="004A677C" w:rsidP="002D7105">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References</w:t>
            </w:r>
          </w:p>
        </w:tc>
      </w:tr>
      <w:tr w:rsidR="004A677C" w14:paraId="10236361" w14:textId="77777777" w:rsidTr="00832134">
        <w:trPr>
          <w:trHeight w:val="420"/>
        </w:trPr>
        <w:tc>
          <w:tcPr>
            <w:tcW w:w="2927" w:type="dxa"/>
            <w:tcBorders>
              <w:top w:val="single" w:sz="12" w:space="0" w:color="auto"/>
              <w:bottom w:val="single" w:sz="12" w:space="0" w:color="auto"/>
            </w:tcBorders>
            <w:vAlign w:val="center"/>
          </w:tcPr>
          <w:p w14:paraId="01738167" w14:textId="77777777" w:rsidR="004A677C" w:rsidRDefault="004A677C" w:rsidP="002D7105">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Freundlich Isotherm coefficient (LH</w:t>
            </w:r>
            <w:r>
              <w:rPr>
                <w:rFonts w:ascii="Times New Roman" w:eastAsia="Times New Roman" w:hAnsi="Times New Roman" w:cs="Times New Roman"/>
                <w:color w:val="000000"/>
                <w:sz w:val="22"/>
                <w:szCs w:val="22"/>
                <w:vertAlign w:val="subscript"/>
              </w:rPr>
              <w:t>2</w:t>
            </w:r>
            <w:r>
              <w:rPr>
                <w:rFonts w:ascii="Times New Roman" w:eastAsia="Times New Roman" w:hAnsi="Times New Roman" w:cs="Times New Roman"/>
                <w:color w:val="000000"/>
                <w:sz w:val="22"/>
                <w:szCs w:val="22"/>
              </w:rPr>
              <w:t>O kg</w:t>
            </w:r>
            <w:r>
              <w:rPr>
                <w:rFonts w:ascii="Times New Roman" w:eastAsia="Times New Roman" w:hAnsi="Times New Roman" w:cs="Times New Roman"/>
                <w:color w:val="000000"/>
                <w:sz w:val="22"/>
                <w:szCs w:val="22"/>
                <w:vertAlign w:val="superscript"/>
              </w:rPr>
              <w:t>-1</w:t>
            </w:r>
            <w:r>
              <w:rPr>
                <w:rFonts w:ascii="Times New Roman" w:eastAsia="Times New Roman" w:hAnsi="Times New Roman" w:cs="Times New Roman"/>
                <w:color w:val="000000"/>
                <w:sz w:val="22"/>
                <w:szCs w:val="22"/>
              </w:rPr>
              <w:t>soil)</w:t>
            </w:r>
          </w:p>
        </w:tc>
        <w:tc>
          <w:tcPr>
            <w:tcW w:w="1078" w:type="dxa"/>
            <w:tcBorders>
              <w:top w:val="single" w:sz="12" w:space="0" w:color="auto"/>
              <w:bottom w:val="single" w:sz="12" w:space="0" w:color="auto"/>
            </w:tcBorders>
            <w:vAlign w:val="center"/>
          </w:tcPr>
          <w:p w14:paraId="4737F5A1" w14:textId="77777777" w:rsidR="004A677C" w:rsidRDefault="004A677C" w:rsidP="002D7105">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348.9</w:t>
            </w:r>
          </w:p>
        </w:tc>
        <w:tc>
          <w:tcPr>
            <w:tcW w:w="1240" w:type="dxa"/>
            <w:tcBorders>
              <w:top w:val="single" w:sz="12" w:space="0" w:color="auto"/>
              <w:bottom w:val="single" w:sz="12" w:space="0" w:color="auto"/>
            </w:tcBorders>
            <w:vAlign w:val="center"/>
          </w:tcPr>
          <w:p w14:paraId="48D6F795" w14:textId="77777777" w:rsidR="004A677C" w:rsidRDefault="004A677C" w:rsidP="002D7105">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185.5</w:t>
            </w:r>
          </w:p>
        </w:tc>
        <w:tc>
          <w:tcPr>
            <w:tcW w:w="1276" w:type="dxa"/>
            <w:tcBorders>
              <w:top w:val="single" w:sz="12" w:space="0" w:color="auto"/>
              <w:bottom w:val="single" w:sz="12" w:space="0" w:color="auto"/>
            </w:tcBorders>
            <w:vAlign w:val="center"/>
          </w:tcPr>
          <w:p w14:paraId="79E4E91D" w14:textId="77777777" w:rsidR="004A677C" w:rsidRDefault="004A677C" w:rsidP="002D7105">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72.3</w:t>
            </w:r>
          </w:p>
        </w:tc>
        <w:tc>
          <w:tcPr>
            <w:tcW w:w="2499" w:type="dxa"/>
            <w:tcBorders>
              <w:top w:val="single" w:sz="12" w:space="0" w:color="auto"/>
              <w:bottom w:val="single" w:sz="12" w:space="0" w:color="auto"/>
            </w:tcBorders>
            <w:vAlign w:val="center"/>
          </w:tcPr>
          <w:p w14:paraId="5DD00381" w14:textId="77777777" w:rsidR="004A677C" w:rsidRDefault="004A677C" w:rsidP="002D7105">
            <w:pPr>
              <w:spacing w:line="360"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Kvacik et al. (in prep)</w:t>
            </w:r>
          </w:p>
        </w:tc>
      </w:tr>
    </w:tbl>
    <w:p w14:paraId="388ECFC6" w14:textId="77777777" w:rsidR="00184E6A" w:rsidRDefault="00184E6A">
      <w:pPr>
        <w:sectPr w:rsidR="00184E6A">
          <w:headerReference w:type="even" r:id="rId7"/>
          <w:headerReference w:type="default" r:id="rId8"/>
          <w:footerReference w:type="even" r:id="rId9"/>
          <w:footerReference w:type="default" r:id="rId10"/>
          <w:pgSz w:w="11900" w:h="16840"/>
          <w:pgMar w:top="1440" w:right="1440" w:bottom="1440" w:left="1440" w:header="708" w:footer="708" w:gutter="0"/>
          <w:pgNumType w:start="1"/>
          <w:cols w:space="720"/>
        </w:sectPr>
      </w:pPr>
    </w:p>
    <w:p w14:paraId="61B3BACE" w14:textId="0012A217" w:rsidR="006C3ED2" w:rsidRPr="00184E6A" w:rsidRDefault="006C3ED2"/>
    <w:p w14:paraId="2C981251" w14:textId="6DB899EA" w:rsidR="006C3ED2" w:rsidRDefault="00184E6A" w:rsidP="006C3ED2">
      <w:pPr>
        <w:spacing w:before="120" w:line="360" w:lineRule="auto"/>
        <w:jc w:val="both"/>
        <w:rPr>
          <w:rFonts w:ascii="Times New Roman" w:eastAsia="Times New Roman" w:hAnsi="Times New Roman" w:cs="Times New Roman"/>
          <w:b/>
          <w:color w:val="000000"/>
        </w:rPr>
      </w:pPr>
      <w:r>
        <w:rPr>
          <w:rFonts w:ascii="Times New Roman" w:eastAsia="Times New Roman" w:hAnsi="Times New Roman" w:cs="Times New Roman"/>
          <w:b/>
          <w:noProof/>
          <w:color w:val="000000"/>
        </w:rPr>
        <w:drawing>
          <wp:inline distT="0" distB="0" distL="0" distR="0" wp14:anchorId="5DF595A6" wp14:editId="4D176E30">
            <wp:extent cx="8316000" cy="44424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ev_figures1.pdf"/>
                    <pic:cNvPicPr/>
                  </pic:nvPicPr>
                  <pic:blipFill rotWithShape="1">
                    <a:blip r:embed="rId11">
                      <a:extLst>
                        <a:ext uri="{28A0092B-C50C-407E-A947-70E740481C1C}">
                          <a14:useLocalDpi xmlns:a14="http://schemas.microsoft.com/office/drawing/2010/main" val="0"/>
                        </a:ext>
                      </a:extLst>
                    </a:blip>
                    <a:srcRect l="3522" t="12957" b="14117"/>
                    <a:stretch/>
                  </pic:blipFill>
                  <pic:spPr bwMode="auto">
                    <a:xfrm>
                      <a:off x="0" y="0"/>
                      <a:ext cx="8316000" cy="4442400"/>
                    </a:xfrm>
                    <a:prstGeom prst="rect">
                      <a:avLst/>
                    </a:prstGeom>
                    <a:ln>
                      <a:noFill/>
                    </a:ln>
                    <a:extLst>
                      <a:ext uri="{53640926-AAD7-44D8-BBD7-CCE9431645EC}">
                        <a14:shadowObscured xmlns:a14="http://schemas.microsoft.com/office/drawing/2010/main"/>
                      </a:ext>
                    </a:extLst>
                  </pic:spPr>
                </pic:pic>
              </a:graphicData>
            </a:graphic>
          </wp:inline>
        </w:drawing>
      </w:r>
    </w:p>
    <w:p w14:paraId="28AD6263" w14:textId="5115987F" w:rsidR="00981695" w:rsidRPr="00184E6A" w:rsidRDefault="006C3ED2" w:rsidP="00184E6A">
      <w:pPr>
        <w:spacing w:before="120"/>
        <w:jc w:val="both"/>
        <w:rPr>
          <w:rFonts w:ascii="Times New Roman" w:eastAsia="Times New Roman" w:hAnsi="Times New Roman" w:cs="Times New Roman"/>
        </w:rPr>
      </w:pPr>
      <w:r>
        <w:rPr>
          <w:rFonts w:ascii="Times New Roman" w:eastAsia="Times New Roman" w:hAnsi="Times New Roman" w:cs="Times New Roman"/>
          <w:b/>
          <w:color w:val="000000"/>
        </w:rPr>
        <w:t xml:space="preserve">Figure S1 </w:t>
      </w:r>
      <w:r>
        <w:rPr>
          <w:rFonts w:ascii="Times New Roman" w:eastAsia="Times New Roman" w:hAnsi="Times New Roman" w:cs="Times New Roman"/>
        </w:rPr>
        <w:t>Fluxes and pool sizes of C, N and P for 6 biomes by ORCHIDEE-CNP and GOLUM-CNP.</w:t>
      </w:r>
      <w:r>
        <w:t xml:space="preserve"> </w:t>
      </w:r>
      <w:r>
        <w:rPr>
          <w:rFonts w:ascii="Times New Roman" w:eastAsia="Times New Roman" w:hAnsi="Times New Roman" w:cs="Times New Roman"/>
        </w:rPr>
        <w:t>The targeted biomes are tropical rainforests (TRF, a, g), temperate deciduous forests (TEDF, b, h), temperate coniferous forests (TECF, c, i), boreal coniferous forests (BOCF, d, j), tropical/C4 grasslands (TRG, e, k), temperate/C3 grasslands (TEG, f, l). Numbers in square brackets indicate the standard deviations for accounting the spatial spread of C, N and P fluxes.</w:t>
      </w:r>
    </w:p>
    <w:p w14:paraId="0F8828D7" w14:textId="77777777" w:rsidR="00184E6A" w:rsidRDefault="00184E6A">
      <w:pPr>
        <w:rPr>
          <w:rFonts w:ascii="Times New Roman" w:eastAsia="Times New Roman" w:hAnsi="Times New Roman" w:cs="Times New Roman"/>
          <w:b/>
          <w:color w:val="000000"/>
        </w:rPr>
        <w:sectPr w:rsidR="00184E6A" w:rsidSect="00184E6A">
          <w:pgSz w:w="16840" w:h="11900" w:orient="landscape"/>
          <w:pgMar w:top="1440" w:right="1440" w:bottom="1440" w:left="1440" w:header="708" w:footer="708" w:gutter="0"/>
          <w:pgNumType w:start="1"/>
          <w:cols w:space="720"/>
          <w:docGrid w:linePitch="326"/>
        </w:sectPr>
      </w:pPr>
    </w:p>
    <w:p w14:paraId="118F81EF" w14:textId="514E59C0" w:rsidR="006C3ED2" w:rsidRDefault="006C3ED2">
      <w:pPr>
        <w:rPr>
          <w:rFonts w:ascii="Times New Roman" w:eastAsia="Times New Roman" w:hAnsi="Times New Roman" w:cs="Times New Roman"/>
          <w:b/>
          <w:color w:val="000000"/>
        </w:rPr>
      </w:pPr>
    </w:p>
    <w:p w14:paraId="7E1ADE14" w14:textId="77777777" w:rsidR="00B470A6" w:rsidRDefault="00B470A6" w:rsidP="00B470A6">
      <w:pPr>
        <w:spacing w:line="360" w:lineRule="auto"/>
        <w:jc w:val="center"/>
        <w:rPr>
          <w:rFonts w:ascii="Times New Roman" w:eastAsia="Times New Roman" w:hAnsi="Times New Roman" w:cs="Times New Roman"/>
          <w:b/>
          <w:color w:val="000000"/>
        </w:rPr>
      </w:pPr>
      <w:r w:rsidRPr="00136688">
        <w:rPr>
          <w:rFonts w:ascii="Times New Roman" w:eastAsia="Times New Roman" w:hAnsi="Times New Roman" w:cs="Times New Roman"/>
          <w:b/>
          <w:noProof/>
          <w:color w:val="000000"/>
        </w:rPr>
        <w:drawing>
          <wp:inline distT="0" distB="0" distL="0" distR="0" wp14:anchorId="3D256D6A" wp14:editId="5FE33F04">
            <wp:extent cx="5727700" cy="1184910"/>
            <wp:effectExtent l="0" t="0" r="12700" b="889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2"/>
                    <a:stretch>
                      <a:fillRect/>
                    </a:stretch>
                  </pic:blipFill>
                  <pic:spPr>
                    <a:xfrm>
                      <a:off x="0" y="0"/>
                      <a:ext cx="5727700" cy="1184910"/>
                    </a:xfrm>
                    <a:prstGeom prst="rect">
                      <a:avLst/>
                    </a:prstGeom>
                  </pic:spPr>
                </pic:pic>
              </a:graphicData>
            </a:graphic>
          </wp:inline>
        </w:drawing>
      </w:r>
    </w:p>
    <w:p w14:paraId="67C6A3BE" w14:textId="67ED7B2D" w:rsidR="00B470A6" w:rsidRDefault="00AF5A00" w:rsidP="00757ABE">
      <w:pPr>
        <w:jc w:val="both"/>
        <w:rPr>
          <w:rFonts w:ascii="Times New Roman" w:eastAsia="Times New Roman" w:hAnsi="Times New Roman" w:cs="Times New Roman"/>
          <w:color w:val="000000"/>
        </w:rPr>
      </w:pPr>
      <w:bookmarkStart w:id="1" w:name="_1t3h5sf" w:colFirst="0" w:colLast="0"/>
      <w:bookmarkEnd w:id="1"/>
      <w:r>
        <w:rPr>
          <w:rFonts w:ascii="Times New Roman" w:eastAsia="Times New Roman" w:hAnsi="Times New Roman" w:cs="Times New Roman"/>
          <w:b/>
          <w:color w:val="000000"/>
        </w:rPr>
        <w:t>Figure S2</w:t>
      </w:r>
      <w:r w:rsidR="00B470A6">
        <w:rPr>
          <w:rFonts w:ascii="Times New Roman" w:eastAsia="Times New Roman" w:hAnsi="Times New Roman" w:cs="Times New Roman"/>
          <w:b/>
          <w:color w:val="000000"/>
        </w:rPr>
        <w:t xml:space="preserve"> </w:t>
      </w:r>
      <w:r w:rsidR="00B470A6">
        <w:rPr>
          <w:rFonts w:ascii="Times New Roman" w:eastAsia="Times New Roman" w:hAnsi="Times New Roman" w:cs="Times New Roman"/>
          <w:color w:val="000000"/>
        </w:rPr>
        <w:t>Global pattern of aboveground forest biomass carbon density from ORCHIDEE-CNP and two data-driven map of GlobBiomass and GERCARBON.</w:t>
      </w:r>
    </w:p>
    <w:p w14:paraId="5226AF91" w14:textId="77777777" w:rsidR="00757ABE" w:rsidRDefault="00757ABE" w:rsidP="00757ABE">
      <w:pPr>
        <w:jc w:val="both"/>
        <w:rPr>
          <w:rFonts w:ascii="Times New Roman" w:eastAsia="Times New Roman" w:hAnsi="Times New Roman" w:cs="Times New Roman"/>
          <w:color w:val="000000"/>
        </w:rPr>
      </w:pPr>
    </w:p>
    <w:p w14:paraId="312A1DFE" w14:textId="77777777" w:rsidR="00757ABE" w:rsidRDefault="00757ABE" w:rsidP="00757ABE">
      <w:pPr>
        <w:jc w:val="both"/>
        <w:rPr>
          <w:rFonts w:ascii="Times New Roman" w:eastAsia="Times New Roman" w:hAnsi="Times New Roman" w:cs="Times New Roman"/>
          <w:color w:val="000000"/>
        </w:rPr>
      </w:pPr>
    </w:p>
    <w:p w14:paraId="37CD590A" w14:textId="77777777" w:rsidR="00757ABE" w:rsidRDefault="00757ABE" w:rsidP="00757ABE">
      <w:pPr>
        <w:jc w:val="both"/>
        <w:rPr>
          <w:rFonts w:ascii="Times New Roman" w:eastAsia="Times New Roman" w:hAnsi="Times New Roman" w:cs="Times New Roman"/>
          <w:color w:val="000000"/>
        </w:rPr>
      </w:pPr>
    </w:p>
    <w:p w14:paraId="5BDD9E36" w14:textId="77777777" w:rsidR="00757ABE" w:rsidRDefault="00757ABE" w:rsidP="00757ABE">
      <w:pPr>
        <w:jc w:val="both"/>
        <w:rPr>
          <w:rFonts w:ascii="Times New Roman" w:eastAsia="Times New Roman" w:hAnsi="Times New Roman" w:cs="Times New Roman"/>
          <w:color w:val="000000"/>
        </w:rPr>
      </w:pPr>
    </w:p>
    <w:p w14:paraId="600B65B1" w14:textId="77777777" w:rsidR="00757ABE" w:rsidRDefault="00757ABE" w:rsidP="00757ABE">
      <w:pPr>
        <w:jc w:val="both"/>
        <w:rPr>
          <w:rFonts w:ascii="Times New Roman" w:eastAsia="Times New Roman" w:hAnsi="Times New Roman" w:cs="Times New Roman"/>
          <w:color w:val="000000"/>
        </w:rPr>
      </w:pPr>
    </w:p>
    <w:p w14:paraId="30491C9B" w14:textId="77777777" w:rsidR="00757ABE" w:rsidRDefault="00757ABE" w:rsidP="00757ABE">
      <w:pPr>
        <w:jc w:val="both"/>
        <w:rPr>
          <w:rFonts w:ascii="Times New Roman" w:eastAsia="Times New Roman" w:hAnsi="Times New Roman" w:cs="Times New Roman"/>
          <w:color w:val="000000"/>
        </w:rPr>
      </w:pPr>
    </w:p>
    <w:p w14:paraId="7FDB2FF6" w14:textId="77777777" w:rsidR="00757ABE" w:rsidRDefault="00757ABE" w:rsidP="00757ABE">
      <w:pPr>
        <w:jc w:val="both"/>
        <w:rPr>
          <w:rFonts w:ascii="Times New Roman" w:eastAsia="Times New Roman" w:hAnsi="Times New Roman" w:cs="Times New Roman"/>
          <w:color w:val="000000"/>
        </w:rPr>
      </w:pPr>
    </w:p>
    <w:p w14:paraId="4A84A13D" w14:textId="77777777" w:rsidR="00B470A6" w:rsidRDefault="00B470A6" w:rsidP="00B470A6">
      <w:pPr>
        <w:spacing w:line="360" w:lineRule="auto"/>
        <w:jc w:val="both"/>
        <w:rPr>
          <w:rFonts w:ascii="Times New Roman" w:eastAsia="Times New Roman" w:hAnsi="Times New Roman" w:cs="Times New Roman"/>
          <w:color w:val="000000"/>
        </w:rPr>
      </w:pPr>
    </w:p>
    <w:p w14:paraId="5D2A8C9B" w14:textId="77777777" w:rsidR="00B470A6" w:rsidRDefault="00B470A6" w:rsidP="00B470A6">
      <w:pPr>
        <w:spacing w:line="360" w:lineRule="auto"/>
        <w:jc w:val="both"/>
        <w:rPr>
          <w:rFonts w:ascii="Times New Roman" w:eastAsia="Times New Roman" w:hAnsi="Times New Roman" w:cs="Times New Roman"/>
          <w:color w:val="000000"/>
        </w:rPr>
      </w:pPr>
    </w:p>
    <w:p w14:paraId="44610248" w14:textId="77777777" w:rsidR="00B470A6" w:rsidRDefault="00B470A6" w:rsidP="00B470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2BF56F8B" wp14:editId="01C50157">
            <wp:extent cx="5724525" cy="1249045"/>
            <wp:effectExtent l="0" t="0" r="0" b="0"/>
            <wp:docPr id="16" name="Picture 16" descr="Code_for_Matlab/Global_Eval/Figures/FigureS15.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de_for_Matlab/Global_Eval/Figures/FigureS15.pd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4525" cy="1249045"/>
                    </a:xfrm>
                    <a:prstGeom prst="rect">
                      <a:avLst/>
                    </a:prstGeom>
                    <a:noFill/>
                    <a:ln>
                      <a:noFill/>
                    </a:ln>
                  </pic:spPr>
                </pic:pic>
              </a:graphicData>
            </a:graphic>
          </wp:inline>
        </w:drawing>
      </w:r>
    </w:p>
    <w:p w14:paraId="58A1542E" w14:textId="77777777" w:rsidR="00B470A6" w:rsidRDefault="00B470A6" w:rsidP="00B470A6">
      <w:pPr>
        <w:spacing w:line="360" w:lineRule="auto"/>
        <w:jc w:val="both"/>
        <w:rPr>
          <w:rFonts w:ascii="Times New Roman" w:eastAsia="Times New Roman" w:hAnsi="Times New Roman" w:cs="Times New Roman"/>
          <w:color w:val="000000"/>
        </w:rPr>
      </w:pPr>
    </w:p>
    <w:p w14:paraId="40274240" w14:textId="1108D46F" w:rsidR="00B470A6" w:rsidRDefault="00AF5A00" w:rsidP="00757ABE">
      <w:pPr>
        <w:jc w:val="both"/>
        <w:rPr>
          <w:rFonts w:ascii="Times New Roman" w:eastAsia="Times New Roman" w:hAnsi="Times New Roman" w:cs="Times New Roman"/>
          <w:b/>
          <w:color w:val="000000"/>
        </w:rPr>
      </w:pPr>
      <w:r>
        <w:rPr>
          <w:rFonts w:ascii="Times New Roman" w:eastAsia="Times New Roman" w:hAnsi="Times New Roman" w:cs="Times New Roman"/>
          <w:b/>
          <w:color w:val="000000"/>
        </w:rPr>
        <w:t>Figure S3</w:t>
      </w:r>
      <w:r w:rsidR="00B470A6">
        <w:rPr>
          <w:rFonts w:ascii="Times New Roman" w:eastAsia="Times New Roman" w:hAnsi="Times New Roman" w:cs="Times New Roman"/>
          <w:b/>
          <w:color w:val="000000"/>
        </w:rPr>
        <w:t xml:space="preserve"> </w:t>
      </w:r>
      <w:r w:rsidR="00B470A6">
        <w:rPr>
          <w:rFonts w:ascii="Times New Roman" w:eastAsia="Times New Roman" w:hAnsi="Times New Roman" w:cs="Times New Roman"/>
          <w:color w:val="000000"/>
        </w:rPr>
        <w:t>Global pattern of soil organic carbon of 0~2 meters depth from GSDE and Soilgrids and derived from ORCHIDEE-CNP.</w:t>
      </w:r>
    </w:p>
    <w:p w14:paraId="0C9433E8" w14:textId="0D3DB56F" w:rsidR="00C81284" w:rsidRDefault="00C81284">
      <w:pPr>
        <w:rPr>
          <w:rFonts w:ascii="Times New Roman" w:eastAsia="Times New Roman" w:hAnsi="Times New Roman" w:cs="Times New Roman"/>
          <w:b/>
          <w:color w:val="000000"/>
        </w:rPr>
      </w:pPr>
      <w:r>
        <w:rPr>
          <w:rFonts w:ascii="Times New Roman" w:eastAsia="Times New Roman" w:hAnsi="Times New Roman" w:cs="Times New Roman"/>
          <w:b/>
          <w:color w:val="000000"/>
        </w:rPr>
        <w:br w:type="page"/>
      </w:r>
    </w:p>
    <w:p w14:paraId="3FC32426" w14:textId="77777777" w:rsidR="00C81284" w:rsidRDefault="00C81284" w:rsidP="00C81284">
      <w:pPr>
        <w:spacing w:before="120" w:line="360" w:lineRule="auto"/>
        <w:jc w:val="both"/>
        <w:rPr>
          <w:rFonts w:ascii="Times New Roman" w:eastAsia="Times New Roman" w:hAnsi="Times New Roman" w:cs="Times New Roman"/>
        </w:rPr>
      </w:pPr>
      <w:r w:rsidRPr="00136688">
        <w:rPr>
          <w:rFonts w:ascii="Times New Roman" w:eastAsia="Times New Roman" w:hAnsi="Times New Roman" w:cs="Times New Roman"/>
          <w:noProof/>
        </w:rPr>
        <w:lastRenderedPageBreak/>
        <w:drawing>
          <wp:inline distT="0" distB="0" distL="0" distR="0" wp14:anchorId="2E0A7D3A" wp14:editId="6372F8C7">
            <wp:extent cx="5727700" cy="4949190"/>
            <wp:effectExtent l="0" t="0" r="12700" b="381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4"/>
                    <a:stretch>
                      <a:fillRect/>
                    </a:stretch>
                  </pic:blipFill>
                  <pic:spPr>
                    <a:xfrm>
                      <a:off x="0" y="0"/>
                      <a:ext cx="5727700" cy="4949190"/>
                    </a:xfrm>
                    <a:prstGeom prst="rect">
                      <a:avLst/>
                    </a:prstGeom>
                  </pic:spPr>
                </pic:pic>
              </a:graphicData>
            </a:graphic>
          </wp:inline>
        </w:drawing>
      </w:r>
    </w:p>
    <w:p w14:paraId="3C4E972D" w14:textId="698D71DE" w:rsidR="00C81284" w:rsidRDefault="00726948" w:rsidP="00757ABE">
      <w:pPr>
        <w:jc w:val="both"/>
        <w:rPr>
          <w:rFonts w:ascii="Times New Roman" w:eastAsia="Times New Roman" w:hAnsi="Times New Roman" w:cs="Times New Roman"/>
          <w:color w:val="000000"/>
        </w:rPr>
      </w:pPr>
      <w:r>
        <w:rPr>
          <w:rFonts w:ascii="Times New Roman" w:eastAsia="Times New Roman" w:hAnsi="Times New Roman" w:cs="Times New Roman"/>
          <w:b/>
          <w:color w:val="000000"/>
        </w:rPr>
        <w:t>Figure S</w:t>
      </w:r>
      <w:r w:rsidR="00674C59">
        <w:rPr>
          <w:rFonts w:ascii="Times New Roman" w:eastAsia="Times New Roman" w:hAnsi="Times New Roman" w:cs="Times New Roman" w:hint="eastAsia"/>
          <w:b/>
          <w:color w:val="000000"/>
        </w:rPr>
        <w:t>4</w:t>
      </w:r>
      <w:r w:rsidR="00C81284">
        <w:rPr>
          <w:rFonts w:ascii="Times New Roman" w:eastAsia="Times New Roman" w:hAnsi="Times New Roman" w:cs="Times New Roman"/>
          <w:color w:val="000000"/>
        </w:rPr>
        <w:t xml:space="preserve"> Comparisons between GPP and absorbed light by canopy (APAR; a), fraction of absorbed light by canopy (fAPAR; b) and ecosystem evapotranspiration (ET; c) used by 6 biomes:</w:t>
      </w:r>
      <w:r w:rsidR="00C81284">
        <w:rPr>
          <w:rFonts w:ascii="Times New Roman" w:eastAsia="Times New Roman" w:hAnsi="Times New Roman" w:cs="Times New Roman"/>
        </w:rPr>
        <w:t xml:space="preserve"> tropical rainforests (TRF), temperate deciduous forests (TEDF), temperate coniferous forests (TECF), boreal coniferous forests (BOCF), tropical/C4 grasslands (TRG) and temperate/C3 grasslands (TEG). </w:t>
      </w:r>
      <w:r w:rsidR="00C81284">
        <w:rPr>
          <w:rFonts w:ascii="Times New Roman" w:eastAsia="Times New Roman" w:hAnsi="Times New Roman" w:cs="Times New Roman"/>
          <w:color w:val="000000"/>
        </w:rPr>
        <w:t xml:space="preserve"> (d) shows the relations between GPP and NPP on biome scale. Reference data (same with Figure 14), ORCHIDEE-CNP and ORCHIDEE are discriminated by color black, red and blue. Error bars indicate the standard deviation of GPP, NPP and resources used by biome.</w:t>
      </w:r>
    </w:p>
    <w:p w14:paraId="25BBBD1E" w14:textId="77777777" w:rsidR="00B0693D" w:rsidRDefault="00B0693D" w:rsidP="00B0693D">
      <w:pPr>
        <w:spacing w:line="360" w:lineRule="auto"/>
        <w:jc w:val="both"/>
        <w:rPr>
          <w:rFonts w:ascii="Times New Roman" w:eastAsia="Times New Roman" w:hAnsi="Times New Roman" w:cs="Times New Roman"/>
        </w:rPr>
      </w:pPr>
      <w:r w:rsidRPr="00021727">
        <w:rPr>
          <w:rFonts w:ascii="Times New Roman" w:eastAsia="Times New Roman" w:hAnsi="Times New Roman" w:cs="Times New Roman"/>
          <w:noProof/>
        </w:rPr>
        <w:lastRenderedPageBreak/>
        <w:drawing>
          <wp:inline distT="0" distB="0" distL="0" distR="0" wp14:anchorId="60F74CE7" wp14:editId="0A4E1F4D">
            <wp:extent cx="5727700" cy="4616450"/>
            <wp:effectExtent l="0" t="0" r="12700" b="635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5"/>
                    <a:stretch>
                      <a:fillRect/>
                    </a:stretch>
                  </pic:blipFill>
                  <pic:spPr>
                    <a:xfrm>
                      <a:off x="0" y="0"/>
                      <a:ext cx="5727700" cy="4616450"/>
                    </a:xfrm>
                    <a:prstGeom prst="rect">
                      <a:avLst/>
                    </a:prstGeom>
                  </pic:spPr>
                </pic:pic>
              </a:graphicData>
            </a:graphic>
          </wp:inline>
        </w:drawing>
      </w:r>
    </w:p>
    <w:p w14:paraId="2E52F706" w14:textId="77777777" w:rsidR="00B0693D" w:rsidRDefault="00B0693D" w:rsidP="00B0693D">
      <w:pPr>
        <w:spacing w:line="360" w:lineRule="auto"/>
        <w:jc w:val="both"/>
        <w:rPr>
          <w:rFonts w:ascii="Times New Roman" w:eastAsia="Times New Roman" w:hAnsi="Times New Roman" w:cs="Times New Roman"/>
          <w:b/>
          <w:color w:val="000000"/>
        </w:rPr>
      </w:pPr>
    </w:p>
    <w:p w14:paraId="3FDB73D3" w14:textId="6FD1FD5B" w:rsidR="00B0693D" w:rsidRDefault="00B0693D" w:rsidP="00757ABE">
      <w:pPr>
        <w:jc w:val="both"/>
        <w:rPr>
          <w:rFonts w:ascii="Times New Roman" w:eastAsia="Times New Roman" w:hAnsi="Times New Roman" w:cs="Times New Roman"/>
        </w:rPr>
      </w:pPr>
      <w:r>
        <w:rPr>
          <w:rFonts w:ascii="Times New Roman" w:eastAsia="Times New Roman" w:hAnsi="Times New Roman" w:cs="Times New Roman"/>
          <w:b/>
          <w:color w:val="000000"/>
        </w:rPr>
        <w:t xml:space="preserve">Figure S5 </w:t>
      </w:r>
      <w:r>
        <w:rPr>
          <w:rFonts w:ascii="Times New Roman" w:eastAsia="Times New Roman" w:hAnsi="Times New Roman" w:cs="Times New Roman"/>
          <w:color w:val="000000"/>
        </w:rPr>
        <w:t>Global pattern of CO</w:t>
      </w:r>
      <w:r w:rsidRPr="0092342A">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xml:space="preserve"> fertilization effect (</w:t>
      </w:r>
      <w:r>
        <w:rPr>
          <w:rFonts w:ascii="Times New Roman" w:eastAsia="Times New Roman" w:hAnsi="Times New Roman" w:cs="Times New Roman"/>
          <w:i/>
        </w:rPr>
        <w:t>E</w:t>
      </w:r>
      <w:r>
        <w:rPr>
          <w:rFonts w:ascii="Times New Roman" w:eastAsia="Times New Roman" w:hAnsi="Times New Roman" w:cs="Times New Roman"/>
          <w:i/>
          <w:vertAlign w:val="subscript"/>
        </w:rPr>
        <w:t>CO2</w:t>
      </w:r>
      <w:r>
        <w:rPr>
          <w:rFonts w:ascii="Times New Roman" w:eastAsia="Times New Roman" w:hAnsi="Times New Roman" w:cs="Times New Roman"/>
          <w:color w:val="000000"/>
        </w:rPr>
        <w:t xml:space="preserve">), defined as the ratio of </w:t>
      </w:r>
      <w:r>
        <w:rPr>
          <w:rFonts w:ascii="Times New Roman" w:eastAsia="Times New Roman" w:hAnsi="Times New Roman" w:cs="Times New Roman"/>
        </w:rPr>
        <w:t>current GPP with atmospheric CO</w:t>
      </w:r>
      <w:r>
        <w:rPr>
          <w:rFonts w:ascii="Times New Roman" w:eastAsia="Times New Roman" w:hAnsi="Times New Roman" w:cs="Times New Roman"/>
          <w:vertAlign w:val="subscript"/>
        </w:rPr>
        <w:t>2</w:t>
      </w:r>
      <w:r>
        <w:rPr>
          <w:rFonts w:ascii="Times New Roman" w:eastAsia="Times New Roman" w:hAnsi="Times New Roman" w:cs="Times New Roman"/>
        </w:rPr>
        <w:t xml:space="preserve"> concentration of 396 ppm (</w:t>
      </w:r>
      <w:r>
        <w:rPr>
          <w:rFonts w:ascii="Times New Roman" w:eastAsia="Times New Roman" w:hAnsi="Times New Roman" w:cs="Times New Roman"/>
          <w:i/>
        </w:rPr>
        <w:t>GPP</w:t>
      </w:r>
      <w:r>
        <w:rPr>
          <w:rFonts w:ascii="Times New Roman" w:eastAsia="Times New Roman" w:hAnsi="Times New Roman" w:cs="Times New Roman"/>
          <w:i/>
          <w:vertAlign w:val="subscript"/>
        </w:rPr>
        <w:t>396</w:t>
      </w:r>
      <w:r>
        <w:rPr>
          <w:rFonts w:ascii="Times New Roman" w:eastAsia="Times New Roman" w:hAnsi="Times New Roman" w:cs="Times New Roman"/>
        </w:rPr>
        <w:t xml:space="preserve">) and GPP </w:t>
      </w:r>
      <w:r>
        <w:rPr>
          <w:rFonts w:ascii="Times New Roman" w:eastAsia="Times New Roman" w:hAnsi="Times New Roman" w:cs="Times New Roman"/>
          <w:color w:val="000000"/>
        </w:rPr>
        <w:t>under pre-</w:t>
      </w:r>
      <w:r>
        <w:rPr>
          <w:rFonts w:ascii="Times New Roman" w:eastAsia="Times New Roman" w:hAnsi="Times New Roman" w:cs="Times New Roman"/>
        </w:rPr>
        <w:t>industrial atmospheric CO</w:t>
      </w:r>
      <w:r>
        <w:rPr>
          <w:rFonts w:ascii="Times New Roman" w:eastAsia="Times New Roman" w:hAnsi="Times New Roman" w:cs="Times New Roman"/>
          <w:vertAlign w:val="subscript"/>
        </w:rPr>
        <w:t>2</w:t>
      </w:r>
      <w:r>
        <w:rPr>
          <w:rFonts w:ascii="Times New Roman" w:eastAsia="Times New Roman" w:hAnsi="Times New Roman" w:cs="Times New Roman"/>
        </w:rPr>
        <w:t xml:space="preserve"> concentration of 296 ppm (</w:t>
      </w:r>
      <w:r>
        <w:rPr>
          <w:rFonts w:ascii="Times New Roman" w:eastAsia="Times New Roman" w:hAnsi="Times New Roman" w:cs="Times New Roman"/>
          <w:i/>
        </w:rPr>
        <w:t>GPP</w:t>
      </w:r>
      <w:r>
        <w:rPr>
          <w:rFonts w:ascii="Times New Roman" w:eastAsia="Times New Roman" w:hAnsi="Times New Roman" w:cs="Times New Roman"/>
          <w:i/>
          <w:vertAlign w:val="subscript"/>
        </w:rPr>
        <w:t>29</w:t>
      </w:r>
      <w:r>
        <w:rPr>
          <w:rFonts w:ascii="Times New Roman" w:eastAsia="Times New Roman" w:hAnsi="Times New Roman" w:cs="Times New Roman"/>
          <w:vertAlign w:val="subscript"/>
        </w:rPr>
        <w:t>6</w:t>
      </w:r>
      <w:r>
        <w:rPr>
          <w:rFonts w:ascii="Times New Roman" w:eastAsia="Times New Roman" w:hAnsi="Times New Roman" w:cs="Times New Roman"/>
        </w:rPr>
        <w:t>), for natural C3 plants (a, c) and natural C4 plants (b, d) by ORCHIDEE-CNP (a, b) and ORCHIDEE (c, d).</w:t>
      </w:r>
    </w:p>
    <w:p w14:paraId="012D1EF7" w14:textId="3B099ABC" w:rsidR="000C0B02" w:rsidRDefault="000C0B02">
      <w:pPr>
        <w:rPr>
          <w:rFonts w:ascii="Times New Roman" w:eastAsia="Times New Roman" w:hAnsi="Times New Roman" w:cs="Times New Roman"/>
        </w:rPr>
      </w:pPr>
      <w:r>
        <w:rPr>
          <w:rFonts w:ascii="Times New Roman" w:eastAsia="Times New Roman" w:hAnsi="Times New Roman" w:cs="Times New Roman"/>
        </w:rPr>
        <w:br w:type="page"/>
      </w:r>
    </w:p>
    <w:p w14:paraId="7A81F031" w14:textId="77777777" w:rsidR="000C0B02" w:rsidRDefault="000C0B02" w:rsidP="00B0693D">
      <w:pPr>
        <w:spacing w:line="360" w:lineRule="auto"/>
        <w:jc w:val="both"/>
        <w:rPr>
          <w:rFonts w:ascii="Times New Roman" w:eastAsia="Times New Roman" w:hAnsi="Times New Roman" w:cs="Times New Roman"/>
        </w:rPr>
      </w:pPr>
    </w:p>
    <w:p w14:paraId="20A2A8E3" w14:textId="6FF3D63C" w:rsidR="000C0B02" w:rsidRDefault="000C0B02" w:rsidP="00B0693D">
      <w:pPr>
        <w:spacing w:line="360" w:lineRule="auto"/>
        <w:jc w:val="both"/>
        <w:rPr>
          <w:rFonts w:ascii="Times New Roman" w:eastAsia="Times New Roman" w:hAnsi="Times New Roman" w:cs="Times New Roman"/>
        </w:rPr>
      </w:pPr>
      <w:r w:rsidRPr="000C0B02">
        <w:rPr>
          <w:rFonts w:ascii="Times New Roman" w:eastAsia="Times New Roman" w:hAnsi="Times New Roman" w:cs="Times New Roman"/>
          <w:noProof/>
        </w:rPr>
        <w:drawing>
          <wp:inline distT="0" distB="0" distL="0" distR="0" wp14:anchorId="786EAD16" wp14:editId="479ECA29">
            <wp:extent cx="5727700" cy="2234565"/>
            <wp:effectExtent l="0" t="0" r="12700" b="635"/>
            <wp:docPr id="41" name="Picture 1" descr="Code_for_Matlab/Global_Eval/Figures/Figure2_GPP_NPP_pattern%20copy.pdf"/>
            <wp:cNvGraphicFramePr/>
            <a:graphic xmlns:a="http://schemas.openxmlformats.org/drawingml/2006/main">
              <a:graphicData uri="http://schemas.openxmlformats.org/drawingml/2006/picture">
                <pic:pic xmlns:pic="http://schemas.openxmlformats.org/drawingml/2006/picture">
                  <pic:nvPicPr>
                    <pic:cNvPr id="2" name="Picture 1" descr="Code_for_Matlab/Global_Eval/Figures/Figure2_GPP_NPP_pattern%20copy.pdf"/>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27700" cy="2234565"/>
                    </a:xfrm>
                    <a:prstGeom prst="rect">
                      <a:avLst/>
                    </a:prstGeom>
                    <a:noFill/>
                    <a:ln>
                      <a:noFill/>
                    </a:ln>
                  </pic:spPr>
                </pic:pic>
              </a:graphicData>
            </a:graphic>
          </wp:inline>
        </w:drawing>
      </w:r>
    </w:p>
    <w:p w14:paraId="4E68CE36" w14:textId="7B9EB67D" w:rsidR="000C0B02" w:rsidRPr="00757ABE" w:rsidRDefault="000C0B02">
      <w:pPr>
        <w:rPr>
          <w:rFonts w:ascii="Times New Roman" w:eastAsia="Times New Roman" w:hAnsi="Times New Roman" w:cs="Times New Roman"/>
          <w:color w:val="000000"/>
        </w:rPr>
      </w:pPr>
      <w:r w:rsidRPr="00757ABE">
        <w:rPr>
          <w:rFonts w:ascii="Times New Roman" w:eastAsia="Times New Roman" w:hAnsi="Times New Roman" w:cs="Times New Roman" w:hint="eastAsia"/>
          <w:b/>
          <w:color w:val="000000"/>
        </w:rPr>
        <w:t>Figure S6</w:t>
      </w:r>
      <w:r w:rsidRPr="00757ABE">
        <w:rPr>
          <w:rFonts w:ascii="Times New Roman" w:eastAsia="Times New Roman" w:hAnsi="Times New Roman" w:cs="Times New Roman" w:hint="eastAsia"/>
          <w:color w:val="000000"/>
        </w:rPr>
        <w:t xml:space="preserve"> </w:t>
      </w:r>
      <w:r w:rsidRPr="00757ABE">
        <w:rPr>
          <w:rFonts w:ascii="Times New Roman" w:eastAsia="Times New Roman" w:hAnsi="Times New Roman" w:cs="Times New Roman"/>
        </w:rPr>
        <w:t>Comparisons of global pattern for plant primary productivity between ORCHIDEE-CNP and data-driven products (MODIS-GPP, MTE-GPP, BESS-GPP, MODIS-NPP, BETHY-NPP, GIMMS-NPP). Black point, ‘</w:t>
      </w:r>
      <w:r w:rsidRPr="00757ABE">
        <w:rPr>
          <w:rFonts w:ascii="Symbol" w:eastAsia="Symbol" w:hAnsi="Symbol" w:cs="Symbol"/>
        </w:rPr>
        <w:t></w:t>
      </w:r>
      <w:r w:rsidRPr="00757ABE">
        <w:rPr>
          <w:rFonts w:ascii="Times New Roman" w:eastAsia="Times New Roman" w:hAnsi="Times New Roman" w:cs="Times New Roman"/>
        </w:rPr>
        <w:t>’ and ‘</w:t>
      </w:r>
      <w:r w:rsidRPr="00757ABE">
        <w:rPr>
          <w:rFonts w:ascii="MS Mincho" w:eastAsia="MS Mincho" w:hAnsi="MS Mincho" w:cs="MS Mincho"/>
        </w:rPr>
        <w:t>∇</w:t>
      </w:r>
      <w:r w:rsidRPr="00757ABE">
        <w:rPr>
          <w:rFonts w:ascii="Times New Roman" w:eastAsia="Times New Roman" w:hAnsi="Times New Roman" w:cs="Times New Roman"/>
        </w:rPr>
        <w:t>’ indicates the GPP or NPP simulated by ORCHIDEE-CNP lie within the ranges / higher than the upper limits / lower than the lower limits of estimations by data-driven products, respectively. The ranges of data-driven GPP and NPP involves uncertainties within each product and among all products.</w:t>
      </w:r>
      <w:r w:rsidRPr="00757ABE">
        <w:rPr>
          <w:rFonts w:ascii="Times New Roman" w:eastAsia="Times New Roman" w:hAnsi="Times New Roman" w:cs="Times New Roman"/>
          <w:color w:val="000000"/>
        </w:rPr>
        <w:br w:type="page"/>
      </w:r>
    </w:p>
    <w:p w14:paraId="23BF2B3C" w14:textId="77777777" w:rsidR="00B0693D" w:rsidRDefault="00B0693D" w:rsidP="00C81284">
      <w:pPr>
        <w:spacing w:line="360" w:lineRule="auto"/>
        <w:jc w:val="both"/>
        <w:rPr>
          <w:rFonts w:ascii="Times New Roman" w:eastAsia="Times New Roman" w:hAnsi="Times New Roman" w:cs="Times New Roman"/>
          <w:color w:val="000000"/>
        </w:rPr>
      </w:pPr>
    </w:p>
    <w:p w14:paraId="0AAC07C6" w14:textId="77777777" w:rsidR="004707E3" w:rsidRDefault="004707E3" w:rsidP="004707E3">
      <w:pPr>
        <w:spacing w:line="360" w:lineRule="auto"/>
        <w:jc w:val="both"/>
        <w:rPr>
          <w:rFonts w:ascii="Times New Roman" w:eastAsia="Times New Roman" w:hAnsi="Times New Roman" w:cs="Times New Roman"/>
          <w:b/>
          <w:color w:val="000000"/>
        </w:rPr>
      </w:pPr>
      <w:r w:rsidRPr="00EC26A2">
        <w:rPr>
          <w:rFonts w:ascii="Times New Roman" w:eastAsia="Times New Roman" w:hAnsi="Times New Roman" w:cs="Times New Roman"/>
          <w:b/>
          <w:noProof/>
          <w:color w:val="000000"/>
        </w:rPr>
        <w:drawing>
          <wp:inline distT="0" distB="0" distL="0" distR="0" wp14:anchorId="3C4671B4" wp14:editId="7584DE5A">
            <wp:extent cx="5727700" cy="4543425"/>
            <wp:effectExtent l="0" t="0" r="12700" b="3175"/>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7"/>
                    <a:stretch>
                      <a:fillRect/>
                    </a:stretch>
                  </pic:blipFill>
                  <pic:spPr>
                    <a:xfrm>
                      <a:off x="0" y="0"/>
                      <a:ext cx="5727700" cy="4543425"/>
                    </a:xfrm>
                    <a:prstGeom prst="rect">
                      <a:avLst/>
                    </a:prstGeom>
                  </pic:spPr>
                </pic:pic>
              </a:graphicData>
            </a:graphic>
          </wp:inline>
        </w:drawing>
      </w:r>
    </w:p>
    <w:p w14:paraId="04B2DB59" w14:textId="3D9C7472" w:rsidR="004707E3" w:rsidRDefault="004707E3" w:rsidP="00757ABE">
      <w:pPr>
        <w:jc w:val="both"/>
        <w:rPr>
          <w:rFonts w:ascii="Times New Roman" w:eastAsia="Times New Roman" w:hAnsi="Times New Roman" w:cs="Times New Roman"/>
          <w:color w:val="000000"/>
        </w:rPr>
      </w:pPr>
      <w:r>
        <w:rPr>
          <w:rFonts w:ascii="Times New Roman" w:eastAsia="Times New Roman" w:hAnsi="Times New Roman" w:cs="Times New Roman"/>
          <w:b/>
          <w:color w:val="000000"/>
        </w:rPr>
        <w:t>Figure S</w:t>
      </w:r>
      <w:r w:rsidR="00A33A59">
        <w:rPr>
          <w:rFonts w:ascii="Times New Roman" w:eastAsia="Times New Roman" w:hAnsi="Times New Roman" w:cs="Times New Roman"/>
          <w:b/>
          <w:color w:val="000000"/>
        </w:rPr>
        <w:t>7</w:t>
      </w:r>
      <w:r>
        <w:rPr>
          <w:rFonts w:ascii="Times New Roman" w:eastAsia="Times New Roman" w:hAnsi="Times New Roman" w:cs="Times New Roman"/>
          <w:color w:val="000000"/>
        </w:rPr>
        <w:t xml:space="preserve"> Sensitivity of GPP anomalies to anomalies of mean annual temperature (S</w:t>
      </w:r>
      <w:r>
        <w:rPr>
          <w:rFonts w:ascii="Times New Roman" w:eastAsia="Times New Roman" w:hAnsi="Times New Roman" w:cs="Times New Roman"/>
          <w:color w:val="000000"/>
          <w:vertAlign w:val="subscript"/>
        </w:rPr>
        <w:t>T</w:t>
      </w:r>
      <w:r>
        <w:rPr>
          <w:rFonts w:ascii="Times New Roman" w:eastAsia="Times New Roman" w:hAnsi="Times New Roman" w:cs="Times New Roman"/>
          <w:color w:val="000000"/>
        </w:rPr>
        <w:t>), annual precipitation (S</w:t>
      </w:r>
      <w:r>
        <w:rPr>
          <w:rFonts w:ascii="Times New Roman" w:eastAsia="Times New Roman" w:hAnsi="Times New Roman" w:cs="Times New Roman"/>
          <w:color w:val="000000"/>
          <w:vertAlign w:val="subscript"/>
        </w:rPr>
        <w:t>P</w:t>
      </w:r>
      <w:r>
        <w:rPr>
          <w:rFonts w:ascii="Times New Roman" w:eastAsia="Times New Roman" w:hAnsi="Times New Roman" w:cs="Times New Roman"/>
          <w:color w:val="000000"/>
        </w:rPr>
        <w:t>) and shortwave radiation (S</w:t>
      </w:r>
      <w:r>
        <w:rPr>
          <w:rFonts w:ascii="Times New Roman" w:eastAsia="Times New Roman" w:hAnsi="Times New Roman" w:cs="Times New Roman"/>
          <w:color w:val="000000"/>
          <w:vertAlign w:val="subscript"/>
        </w:rPr>
        <w:t>R</w:t>
      </w:r>
      <w:r>
        <w:rPr>
          <w:rFonts w:ascii="Times New Roman" w:eastAsia="Times New Roman" w:hAnsi="Times New Roman" w:cs="Times New Roman"/>
          <w:color w:val="000000"/>
        </w:rPr>
        <w:t>) plotted in a mean annual temperature (MAT) – mean annual precipitation (MAP) space for MTE-GPP, BESS-GPP, ORCHIDEE and ORCHIDEE-CNP.</w:t>
      </w:r>
    </w:p>
    <w:p w14:paraId="5C95A372" w14:textId="77777777" w:rsidR="004707E3" w:rsidRDefault="004707E3" w:rsidP="004707E3">
      <w:pPr>
        <w:spacing w:line="360" w:lineRule="auto"/>
        <w:jc w:val="both"/>
        <w:rPr>
          <w:rFonts w:ascii="Times New Roman" w:eastAsia="Times New Roman" w:hAnsi="Times New Roman" w:cs="Times New Roman"/>
          <w:b/>
          <w:color w:val="000000"/>
        </w:rPr>
      </w:pPr>
    </w:p>
    <w:p w14:paraId="73AC3C81" w14:textId="77777777" w:rsidR="004707E3" w:rsidRDefault="004707E3" w:rsidP="004707E3">
      <w:pPr>
        <w:spacing w:line="360" w:lineRule="auto"/>
        <w:jc w:val="both"/>
        <w:rPr>
          <w:rFonts w:ascii="Times New Roman" w:eastAsia="Times New Roman" w:hAnsi="Times New Roman" w:cs="Times New Roman"/>
          <w:b/>
          <w:color w:val="000000"/>
        </w:rPr>
      </w:pPr>
    </w:p>
    <w:p w14:paraId="319A16E0" w14:textId="77777777" w:rsidR="004707E3" w:rsidRDefault="004707E3" w:rsidP="004707E3">
      <w:pPr>
        <w:spacing w:line="360" w:lineRule="auto"/>
        <w:jc w:val="both"/>
        <w:rPr>
          <w:rFonts w:ascii="Times New Roman" w:eastAsia="Times New Roman" w:hAnsi="Times New Roman" w:cs="Times New Roman"/>
          <w:b/>
          <w:color w:val="000000"/>
        </w:rPr>
      </w:pPr>
    </w:p>
    <w:p w14:paraId="7F6C6C82" w14:textId="77777777" w:rsidR="004707E3" w:rsidRDefault="004707E3" w:rsidP="004707E3">
      <w:pPr>
        <w:spacing w:line="360" w:lineRule="auto"/>
        <w:jc w:val="both"/>
        <w:rPr>
          <w:rFonts w:ascii="Times New Roman" w:eastAsia="Times New Roman" w:hAnsi="Times New Roman" w:cs="Times New Roman"/>
          <w:b/>
          <w:color w:val="000000"/>
        </w:rPr>
      </w:pPr>
    </w:p>
    <w:p w14:paraId="7D8BAEF5" w14:textId="77777777" w:rsidR="004707E3" w:rsidRDefault="004707E3" w:rsidP="004707E3">
      <w:pPr>
        <w:spacing w:line="360" w:lineRule="auto"/>
        <w:jc w:val="both"/>
        <w:rPr>
          <w:rFonts w:ascii="Times New Roman" w:eastAsia="Times New Roman" w:hAnsi="Times New Roman" w:cs="Times New Roman"/>
          <w:b/>
          <w:color w:val="000000"/>
        </w:rPr>
      </w:pPr>
    </w:p>
    <w:p w14:paraId="72C3F765" w14:textId="77777777" w:rsidR="004707E3" w:rsidRDefault="004707E3" w:rsidP="004707E3">
      <w:pPr>
        <w:spacing w:line="360" w:lineRule="auto"/>
        <w:jc w:val="both"/>
        <w:rPr>
          <w:rFonts w:ascii="Times New Roman" w:eastAsia="Times New Roman" w:hAnsi="Times New Roman" w:cs="Times New Roman"/>
          <w:b/>
          <w:color w:val="000000"/>
        </w:rPr>
      </w:pPr>
    </w:p>
    <w:p w14:paraId="62F6CA69" w14:textId="77777777" w:rsidR="004707E3" w:rsidRDefault="004707E3" w:rsidP="004707E3">
      <w:pPr>
        <w:spacing w:line="360" w:lineRule="auto"/>
        <w:jc w:val="both"/>
        <w:rPr>
          <w:rFonts w:ascii="Times New Roman" w:eastAsia="Times New Roman" w:hAnsi="Times New Roman" w:cs="Times New Roman"/>
          <w:b/>
          <w:color w:val="000000"/>
        </w:rPr>
      </w:pPr>
    </w:p>
    <w:p w14:paraId="30C00D90" w14:textId="77777777" w:rsidR="004707E3" w:rsidRDefault="004707E3" w:rsidP="004707E3">
      <w:pPr>
        <w:spacing w:line="360" w:lineRule="auto"/>
        <w:jc w:val="both"/>
        <w:rPr>
          <w:rFonts w:ascii="Times New Roman" w:eastAsia="Times New Roman" w:hAnsi="Times New Roman" w:cs="Times New Roman"/>
          <w:b/>
          <w:color w:val="000000"/>
        </w:rPr>
      </w:pPr>
    </w:p>
    <w:p w14:paraId="52D52AF9" w14:textId="77777777" w:rsidR="004707E3" w:rsidRDefault="004707E3" w:rsidP="004707E3">
      <w:pPr>
        <w:rPr>
          <w:rFonts w:ascii="Times New Roman" w:eastAsia="Times New Roman" w:hAnsi="Times New Roman" w:cs="Times New Roman"/>
          <w:b/>
          <w:color w:val="000000"/>
        </w:rPr>
      </w:pPr>
      <w:r>
        <w:rPr>
          <w:rFonts w:ascii="Times New Roman" w:eastAsia="Times New Roman" w:hAnsi="Times New Roman" w:cs="Times New Roman"/>
          <w:b/>
          <w:color w:val="000000"/>
        </w:rPr>
        <w:br w:type="page"/>
      </w:r>
    </w:p>
    <w:p w14:paraId="56DE6E3E" w14:textId="77777777" w:rsidR="004707E3" w:rsidRDefault="004707E3" w:rsidP="004707E3">
      <w:pPr>
        <w:spacing w:line="360" w:lineRule="auto"/>
        <w:jc w:val="both"/>
        <w:rPr>
          <w:rFonts w:ascii="Times New Roman" w:eastAsia="Times New Roman" w:hAnsi="Times New Roman" w:cs="Times New Roman"/>
          <w:b/>
          <w:color w:val="000000"/>
        </w:rPr>
      </w:pPr>
      <w:r w:rsidRPr="008767DD">
        <w:rPr>
          <w:rFonts w:ascii="Times New Roman" w:eastAsia="Times New Roman" w:hAnsi="Times New Roman" w:cs="Times New Roman"/>
          <w:b/>
          <w:noProof/>
          <w:color w:val="000000"/>
        </w:rPr>
        <w:lastRenderedPageBreak/>
        <w:drawing>
          <wp:inline distT="0" distB="0" distL="0" distR="0" wp14:anchorId="05532C58" wp14:editId="62D8D301">
            <wp:extent cx="5727700" cy="4148455"/>
            <wp:effectExtent l="0" t="0" r="1270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8"/>
                    <a:stretch>
                      <a:fillRect/>
                    </a:stretch>
                  </pic:blipFill>
                  <pic:spPr>
                    <a:xfrm>
                      <a:off x="0" y="0"/>
                      <a:ext cx="5727700" cy="4148455"/>
                    </a:xfrm>
                    <a:prstGeom prst="rect">
                      <a:avLst/>
                    </a:prstGeom>
                  </pic:spPr>
                </pic:pic>
              </a:graphicData>
            </a:graphic>
          </wp:inline>
        </w:drawing>
      </w:r>
    </w:p>
    <w:p w14:paraId="2E382DEC" w14:textId="50CF3A1C" w:rsidR="004707E3" w:rsidRDefault="00A33A59" w:rsidP="00757ABE">
      <w:pPr>
        <w:jc w:val="both"/>
        <w:rPr>
          <w:rFonts w:ascii="Times New Roman" w:eastAsia="Times New Roman" w:hAnsi="Times New Roman" w:cs="Times New Roman"/>
          <w:color w:val="000000"/>
        </w:rPr>
      </w:pPr>
      <w:r>
        <w:rPr>
          <w:rFonts w:ascii="Times New Roman" w:eastAsia="Times New Roman" w:hAnsi="Times New Roman" w:cs="Times New Roman"/>
          <w:b/>
          <w:color w:val="000000"/>
        </w:rPr>
        <w:t>Figure S8</w:t>
      </w:r>
      <w:r w:rsidR="004707E3">
        <w:rPr>
          <w:rFonts w:ascii="Times New Roman" w:eastAsia="Times New Roman" w:hAnsi="Times New Roman" w:cs="Times New Roman"/>
          <w:b/>
          <w:color w:val="000000"/>
        </w:rPr>
        <w:t xml:space="preserve"> </w:t>
      </w:r>
      <w:r w:rsidR="004707E3">
        <w:rPr>
          <w:rFonts w:ascii="Times New Roman" w:eastAsia="Times New Roman" w:hAnsi="Times New Roman" w:cs="Times New Roman"/>
          <w:color w:val="000000"/>
        </w:rPr>
        <w:t>Global patterns of sensitivities of GPP anomalies to anomalies of mean annual temperature (S</w:t>
      </w:r>
      <w:r w:rsidR="004707E3">
        <w:rPr>
          <w:rFonts w:ascii="Times New Roman" w:eastAsia="Times New Roman" w:hAnsi="Times New Roman" w:cs="Times New Roman"/>
          <w:color w:val="000000"/>
          <w:vertAlign w:val="subscript"/>
        </w:rPr>
        <w:t>T</w:t>
      </w:r>
      <w:r w:rsidR="004707E3">
        <w:rPr>
          <w:rFonts w:ascii="Times New Roman" w:eastAsia="Times New Roman" w:hAnsi="Times New Roman" w:cs="Times New Roman"/>
          <w:color w:val="000000"/>
        </w:rPr>
        <w:t>), annual precipitation (S</w:t>
      </w:r>
      <w:r w:rsidR="004707E3">
        <w:rPr>
          <w:rFonts w:ascii="Times New Roman" w:eastAsia="Times New Roman" w:hAnsi="Times New Roman" w:cs="Times New Roman"/>
          <w:color w:val="000000"/>
          <w:vertAlign w:val="subscript"/>
        </w:rPr>
        <w:t>P</w:t>
      </w:r>
      <w:r w:rsidR="004707E3">
        <w:rPr>
          <w:rFonts w:ascii="Times New Roman" w:eastAsia="Times New Roman" w:hAnsi="Times New Roman" w:cs="Times New Roman"/>
          <w:color w:val="000000"/>
        </w:rPr>
        <w:t>) and shortwave radiation (S</w:t>
      </w:r>
      <w:r w:rsidR="004707E3">
        <w:rPr>
          <w:rFonts w:ascii="Times New Roman" w:eastAsia="Times New Roman" w:hAnsi="Times New Roman" w:cs="Times New Roman"/>
          <w:color w:val="000000"/>
          <w:vertAlign w:val="subscript"/>
        </w:rPr>
        <w:t>R</w:t>
      </w:r>
      <w:r w:rsidR="004707E3">
        <w:rPr>
          <w:rFonts w:ascii="Times New Roman" w:eastAsia="Times New Roman" w:hAnsi="Times New Roman" w:cs="Times New Roman"/>
          <w:color w:val="000000"/>
        </w:rPr>
        <w:t>) derived from MTE-GPP, BESS-GPP, ORCHIDEE and ORCHIDEE-CNP.</w:t>
      </w:r>
    </w:p>
    <w:p w14:paraId="6E214340" w14:textId="77777777" w:rsidR="004762F5" w:rsidRDefault="004762F5" w:rsidP="004762F5">
      <w:pPr>
        <w:rPr>
          <w:b/>
          <w:bCs/>
          <w:sz w:val="18"/>
          <w:szCs w:val="18"/>
          <w:highlight w:val="yellow"/>
        </w:rPr>
      </w:pPr>
    </w:p>
    <w:p w14:paraId="0D1DD1C3" w14:textId="77777777" w:rsidR="004762F5" w:rsidRDefault="004762F5" w:rsidP="004762F5">
      <w:pPr>
        <w:pStyle w:val="Caption"/>
        <w:rPr>
          <w:highlight w:val="yellow"/>
        </w:rPr>
      </w:pPr>
    </w:p>
    <w:p w14:paraId="60603C52" w14:textId="77777777" w:rsidR="004762F5" w:rsidRPr="00A7300A" w:rsidRDefault="004762F5" w:rsidP="004762F5">
      <w:pPr>
        <w:rPr>
          <w:b/>
          <w:bCs/>
          <w:sz w:val="18"/>
          <w:szCs w:val="18"/>
          <w:highlight w:val="yellow"/>
        </w:rPr>
      </w:pPr>
      <w:r>
        <w:rPr>
          <w:highlight w:val="yellow"/>
        </w:rPr>
        <w:br w:type="page"/>
      </w:r>
    </w:p>
    <w:p w14:paraId="66F704E8" w14:textId="77777777" w:rsidR="004762F5" w:rsidRDefault="004762F5" w:rsidP="004762F5">
      <w:pPr>
        <w:pStyle w:val="Caption"/>
      </w:pPr>
    </w:p>
    <w:p w14:paraId="2D84206F" w14:textId="77777777" w:rsidR="004762F5" w:rsidRDefault="004762F5" w:rsidP="004762F5">
      <w:pPr>
        <w:pStyle w:val="Caption"/>
      </w:pPr>
      <w:r>
        <w:rPr>
          <w:rFonts w:hint="eastAsia"/>
          <w:noProof/>
          <w:lang w:val="en-US" w:eastAsia="zh-CN"/>
        </w:rPr>
        <mc:AlternateContent>
          <mc:Choice Requires="wps">
            <w:drawing>
              <wp:anchor distT="0" distB="0" distL="114300" distR="114300" simplePos="0" relativeHeight="251696128" behindDoc="0" locked="0" layoutInCell="1" allowOverlap="1" wp14:anchorId="7A97D7CA" wp14:editId="2E3E6921">
                <wp:simplePos x="0" y="0"/>
                <wp:positionH relativeFrom="column">
                  <wp:posOffset>828675</wp:posOffset>
                </wp:positionH>
                <wp:positionV relativeFrom="paragraph">
                  <wp:posOffset>181610</wp:posOffset>
                </wp:positionV>
                <wp:extent cx="4338320" cy="4688840"/>
                <wp:effectExtent l="0" t="0" r="0" b="10160"/>
                <wp:wrapSquare wrapText="bothSides"/>
                <wp:docPr id="42" name="Text Box 42"/>
                <wp:cNvGraphicFramePr/>
                <a:graphic xmlns:a="http://schemas.openxmlformats.org/drawingml/2006/main">
                  <a:graphicData uri="http://schemas.microsoft.com/office/word/2010/wordprocessingShape">
                    <wps:wsp>
                      <wps:cNvSpPr txBox="1"/>
                      <wps:spPr>
                        <a:xfrm>
                          <a:off x="0" y="0"/>
                          <a:ext cx="4338320" cy="46888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C247E08" w14:textId="77777777" w:rsidR="00897973" w:rsidRPr="00CB1D6D" w:rsidRDefault="00897973" w:rsidP="004762F5">
                            <w:r>
                              <w:rPr>
                                <w:noProof/>
                              </w:rPr>
                              <w:drawing>
                                <wp:inline distT="0" distB="0" distL="0" distR="0" wp14:anchorId="40935CBD" wp14:editId="7059A742">
                                  <wp:extent cx="3646800" cy="4737600"/>
                                  <wp:effectExtent l="0" t="0" r="1143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e6_month_gpp_compare_bess_jung copy.pdf"/>
                                          <pic:cNvPicPr/>
                                        </pic:nvPicPr>
                                        <pic:blipFill>
                                          <a:blip r:embed="rId19">
                                            <a:extLst>
                                              <a:ext uri="{28A0092B-C50C-407E-A947-70E740481C1C}">
                                                <a14:useLocalDpi xmlns:a14="http://schemas.microsoft.com/office/drawing/2010/main" val="0"/>
                                              </a:ext>
                                            </a:extLst>
                                          </a:blip>
                                          <a:stretch>
                                            <a:fillRect/>
                                          </a:stretch>
                                        </pic:blipFill>
                                        <pic:spPr>
                                          <a:xfrm>
                                            <a:off x="0" y="0"/>
                                            <a:ext cx="3646800" cy="47376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97D7CA" id="_x0000_t202" coordsize="21600,21600" o:spt="202" path="m0,0l0,21600,21600,21600,21600,0xe">
                <v:stroke joinstyle="miter"/>
                <v:path gradientshapeok="t" o:connecttype="rect"/>
              </v:shapetype>
              <v:shape id="Text Box 42" o:spid="_x0000_s1026" type="#_x0000_t202" style="position:absolute;left:0;text-align:left;margin-left:65.25pt;margin-top:14.3pt;width:341.6pt;height:369.2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" filled="f" stroked="f">
                <v:textbox>
                  <w:txbxContent>
                    <w:p w14:paraId="4C247E08" w14:textId="77777777" w:rsidR="00897973" w:rsidRPr="00CB1D6D" w:rsidRDefault="00897973" w:rsidP="004762F5">
                      <w:r>
                        <w:rPr>
                          <w:noProof/>
                        </w:rPr>
                        <w:drawing>
                          <wp:inline distT="0" distB="0" distL="0" distR="0" wp14:anchorId="40935CBD" wp14:editId="7059A742">
                            <wp:extent cx="3646800" cy="4737600"/>
                            <wp:effectExtent l="0" t="0" r="1143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e6_month_gpp_compare_bess_jung copy.pdf"/>
                                    <pic:cNvPicPr/>
                                  </pic:nvPicPr>
                                  <pic:blipFill>
                                    <a:blip r:embed="rId19">
                                      <a:extLst>
                                        <a:ext uri="{28A0092B-C50C-407E-A947-70E740481C1C}">
                                          <a14:useLocalDpi xmlns:a14="http://schemas.microsoft.com/office/drawing/2010/main" val="0"/>
                                        </a:ext>
                                      </a:extLst>
                                    </a:blip>
                                    <a:stretch>
                                      <a:fillRect/>
                                    </a:stretch>
                                  </pic:blipFill>
                                  <pic:spPr>
                                    <a:xfrm>
                                      <a:off x="0" y="0"/>
                                      <a:ext cx="3646800" cy="4737600"/>
                                    </a:xfrm>
                                    <a:prstGeom prst="rect">
                                      <a:avLst/>
                                    </a:prstGeom>
                                  </pic:spPr>
                                </pic:pic>
                              </a:graphicData>
                            </a:graphic>
                          </wp:inline>
                        </w:drawing>
                      </w:r>
                    </w:p>
                  </w:txbxContent>
                </v:textbox>
                <w10:wrap type="square"/>
              </v:shape>
            </w:pict>
          </mc:Fallback>
        </mc:AlternateContent>
      </w:r>
    </w:p>
    <w:p w14:paraId="40DD083C" w14:textId="77777777" w:rsidR="004762F5" w:rsidRDefault="004762F5" w:rsidP="004762F5">
      <w:pPr>
        <w:rPr>
          <w:lang w:val="en-GB" w:eastAsia="de-DE"/>
        </w:rPr>
      </w:pPr>
    </w:p>
    <w:p w14:paraId="7A91AB54" w14:textId="77777777" w:rsidR="004762F5" w:rsidRDefault="004762F5" w:rsidP="004762F5">
      <w:pPr>
        <w:rPr>
          <w:lang w:val="en-GB" w:eastAsia="de-DE"/>
        </w:rPr>
      </w:pPr>
    </w:p>
    <w:p w14:paraId="4166A4EF" w14:textId="77777777" w:rsidR="004762F5" w:rsidRDefault="004762F5" w:rsidP="004762F5">
      <w:pPr>
        <w:rPr>
          <w:lang w:val="en-GB" w:eastAsia="de-DE"/>
        </w:rPr>
      </w:pPr>
    </w:p>
    <w:p w14:paraId="19D24290" w14:textId="77777777" w:rsidR="004762F5" w:rsidRDefault="004762F5" w:rsidP="004762F5">
      <w:pPr>
        <w:pStyle w:val="Caption"/>
        <w:rPr>
          <w:highlight w:val="yellow"/>
        </w:rPr>
      </w:pPr>
    </w:p>
    <w:p w14:paraId="32504AB5" w14:textId="77777777" w:rsidR="004762F5" w:rsidRDefault="004762F5" w:rsidP="004762F5">
      <w:pPr>
        <w:pStyle w:val="Caption"/>
        <w:rPr>
          <w:highlight w:val="yellow"/>
        </w:rPr>
      </w:pPr>
    </w:p>
    <w:p w14:paraId="4D4EC4AA" w14:textId="77777777" w:rsidR="004762F5" w:rsidRDefault="004762F5" w:rsidP="004762F5">
      <w:pPr>
        <w:pStyle w:val="Caption"/>
        <w:rPr>
          <w:highlight w:val="yellow"/>
        </w:rPr>
      </w:pPr>
    </w:p>
    <w:p w14:paraId="61DB8F76" w14:textId="77777777" w:rsidR="004762F5" w:rsidRDefault="004762F5" w:rsidP="004762F5">
      <w:pPr>
        <w:pStyle w:val="Caption"/>
        <w:rPr>
          <w:highlight w:val="yellow"/>
        </w:rPr>
      </w:pPr>
    </w:p>
    <w:p w14:paraId="3F1B9CAD" w14:textId="77777777" w:rsidR="004762F5" w:rsidRDefault="004762F5" w:rsidP="004762F5">
      <w:pPr>
        <w:pStyle w:val="Caption"/>
        <w:rPr>
          <w:highlight w:val="yellow"/>
        </w:rPr>
      </w:pPr>
    </w:p>
    <w:p w14:paraId="21566786" w14:textId="77777777" w:rsidR="004762F5" w:rsidRDefault="004762F5" w:rsidP="004762F5">
      <w:pPr>
        <w:pStyle w:val="Caption"/>
        <w:rPr>
          <w:highlight w:val="yellow"/>
        </w:rPr>
      </w:pPr>
    </w:p>
    <w:p w14:paraId="0ACE4EE2" w14:textId="77777777" w:rsidR="004762F5" w:rsidRDefault="004762F5" w:rsidP="004762F5">
      <w:pPr>
        <w:pStyle w:val="Caption"/>
        <w:rPr>
          <w:highlight w:val="yellow"/>
        </w:rPr>
      </w:pPr>
    </w:p>
    <w:p w14:paraId="27B4E75B" w14:textId="77777777" w:rsidR="004762F5" w:rsidRDefault="004762F5" w:rsidP="004762F5">
      <w:pPr>
        <w:pStyle w:val="Caption"/>
        <w:rPr>
          <w:highlight w:val="yellow"/>
        </w:rPr>
      </w:pPr>
    </w:p>
    <w:p w14:paraId="621C4AD3" w14:textId="77777777" w:rsidR="004762F5" w:rsidRDefault="004762F5" w:rsidP="004762F5">
      <w:pPr>
        <w:pStyle w:val="Caption"/>
        <w:rPr>
          <w:highlight w:val="yellow"/>
        </w:rPr>
      </w:pPr>
    </w:p>
    <w:p w14:paraId="726F6667" w14:textId="77777777" w:rsidR="004762F5" w:rsidRDefault="004762F5" w:rsidP="004762F5">
      <w:pPr>
        <w:pStyle w:val="Caption"/>
        <w:rPr>
          <w:highlight w:val="yellow"/>
        </w:rPr>
      </w:pPr>
    </w:p>
    <w:p w14:paraId="36B870E2" w14:textId="77777777" w:rsidR="004762F5" w:rsidRDefault="004762F5" w:rsidP="004762F5">
      <w:pPr>
        <w:pStyle w:val="Caption"/>
        <w:rPr>
          <w:highlight w:val="yellow"/>
        </w:rPr>
      </w:pPr>
    </w:p>
    <w:p w14:paraId="5CCF647E" w14:textId="77777777" w:rsidR="004762F5" w:rsidRDefault="004762F5" w:rsidP="004762F5">
      <w:pPr>
        <w:pStyle w:val="Caption"/>
        <w:rPr>
          <w:highlight w:val="yellow"/>
        </w:rPr>
      </w:pPr>
    </w:p>
    <w:p w14:paraId="1B4F202D" w14:textId="77777777" w:rsidR="004762F5" w:rsidRDefault="004762F5" w:rsidP="004762F5">
      <w:pPr>
        <w:pStyle w:val="Caption"/>
        <w:rPr>
          <w:highlight w:val="yellow"/>
        </w:rPr>
      </w:pPr>
    </w:p>
    <w:p w14:paraId="45920F20" w14:textId="77777777" w:rsidR="004762F5" w:rsidRDefault="004762F5" w:rsidP="004762F5">
      <w:pPr>
        <w:pStyle w:val="Caption"/>
        <w:rPr>
          <w:highlight w:val="yellow"/>
        </w:rPr>
      </w:pPr>
    </w:p>
    <w:p w14:paraId="0F5B21FC" w14:textId="77777777" w:rsidR="004762F5" w:rsidRDefault="004762F5" w:rsidP="004762F5">
      <w:pPr>
        <w:pStyle w:val="Caption"/>
        <w:rPr>
          <w:highlight w:val="yellow"/>
        </w:rPr>
      </w:pPr>
    </w:p>
    <w:p w14:paraId="6E22256B" w14:textId="77777777" w:rsidR="004762F5" w:rsidRPr="00A10CE1" w:rsidRDefault="004762F5" w:rsidP="004762F5">
      <w:pPr>
        <w:pStyle w:val="Caption"/>
        <w:rPr>
          <w:b w:val="0"/>
          <w:sz w:val="24"/>
          <w:szCs w:val="24"/>
        </w:rPr>
      </w:pPr>
    </w:p>
    <w:p w14:paraId="2F0277AD" w14:textId="2D149BB4" w:rsidR="004762F5" w:rsidRPr="00A10CE1" w:rsidRDefault="00A33A59" w:rsidP="004762F5">
      <w:pPr>
        <w:pStyle w:val="Caption"/>
        <w:rPr>
          <w:b w:val="0"/>
          <w:sz w:val="24"/>
          <w:szCs w:val="24"/>
          <w:highlight w:val="yellow"/>
        </w:rPr>
      </w:pPr>
      <w:r w:rsidRPr="00A33A59">
        <w:rPr>
          <w:sz w:val="24"/>
          <w:szCs w:val="24"/>
        </w:rPr>
        <w:t>Figure S9</w:t>
      </w:r>
      <w:r w:rsidR="004762F5" w:rsidRPr="00A10CE1">
        <w:rPr>
          <w:b w:val="0"/>
          <w:sz w:val="24"/>
          <w:szCs w:val="24"/>
        </w:rPr>
        <w:t xml:space="preserve"> Seasonal cycles of GPP by BESS-GPP, MTE-GPP, ORCHIDEE and ORCHIDEE-CNP for the northern hemisphere (30</w:t>
      </w:r>
      <w:r w:rsidR="004762F5" w:rsidRPr="00A10CE1">
        <w:rPr>
          <w:b w:val="0"/>
          <w:sz w:val="24"/>
          <w:szCs w:val="24"/>
          <w:vertAlign w:val="superscript"/>
        </w:rPr>
        <w:t>o</w:t>
      </w:r>
      <w:r w:rsidR="004762F5" w:rsidRPr="00A10CE1">
        <w:rPr>
          <w:b w:val="0"/>
          <w:sz w:val="24"/>
          <w:szCs w:val="24"/>
        </w:rPr>
        <w:t>N-90</w:t>
      </w:r>
      <w:r w:rsidR="004762F5" w:rsidRPr="00A10CE1">
        <w:rPr>
          <w:b w:val="0"/>
          <w:sz w:val="24"/>
          <w:szCs w:val="24"/>
          <w:vertAlign w:val="superscript"/>
        </w:rPr>
        <w:t xml:space="preserve"> o</w:t>
      </w:r>
      <w:r w:rsidR="004762F5" w:rsidRPr="00A10CE1">
        <w:rPr>
          <w:b w:val="0"/>
          <w:sz w:val="24"/>
          <w:szCs w:val="24"/>
        </w:rPr>
        <w:t>N; a), north tropical (0</w:t>
      </w:r>
      <w:r w:rsidR="004762F5" w:rsidRPr="00A10CE1">
        <w:rPr>
          <w:b w:val="0"/>
          <w:sz w:val="24"/>
          <w:szCs w:val="24"/>
          <w:vertAlign w:val="superscript"/>
        </w:rPr>
        <w:t>o</w:t>
      </w:r>
      <w:r w:rsidR="004762F5" w:rsidRPr="00A10CE1">
        <w:rPr>
          <w:b w:val="0"/>
          <w:sz w:val="24"/>
          <w:szCs w:val="24"/>
        </w:rPr>
        <w:t>-30</w:t>
      </w:r>
      <w:r w:rsidR="004762F5" w:rsidRPr="00A10CE1">
        <w:rPr>
          <w:b w:val="0"/>
          <w:sz w:val="24"/>
          <w:szCs w:val="24"/>
          <w:vertAlign w:val="superscript"/>
        </w:rPr>
        <w:t>o</w:t>
      </w:r>
      <w:r w:rsidR="004762F5" w:rsidRPr="00A10CE1">
        <w:rPr>
          <w:b w:val="0"/>
          <w:sz w:val="24"/>
          <w:szCs w:val="24"/>
        </w:rPr>
        <w:t>N; b), south tropical (0</w:t>
      </w:r>
      <w:r w:rsidR="004762F5" w:rsidRPr="00A10CE1">
        <w:rPr>
          <w:b w:val="0"/>
          <w:sz w:val="24"/>
          <w:szCs w:val="24"/>
          <w:vertAlign w:val="superscript"/>
        </w:rPr>
        <w:t>o</w:t>
      </w:r>
      <w:r w:rsidR="004762F5" w:rsidRPr="00A10CE1">
        <w:rPr>
          <w:b w:val="0"/>
          <w:sz w:val="24"/>
          <w:szCs w:val="24"/>
        </w:rPr>
        <w:t>-30</w:t>
      </w:r>
      <w:r w:rsidR="004762F5" w:rsidRPr="00A10CE1">
        <w:rPr>
          <w:b w:val="0"/>
          <w:sz w:val="24"/>
          <w:szCs w:val="24"/>
          <w:vertAlign w:val="superscript"/>
        </w:rPr>
        <w:t xml:space="preserve"> o</w:t>
      </w:r>
      <w:r w:rsidR="004762F5" w:rsidRPr="00A10CE1">
        <w:rPr>
          <w:b w:val="0"/>
          <w:sz w:val="24"/>
          <w:szCs w:val="24"/>
        </w:rPr>
        <w:t>S; c) and the southern hemisphere (30</w:t>
      </w:r>
      <w:r w:rsidR="004762F5" w:rsidRPr="00A10CE1">
        <w:rPr>
          <w:b w:val="0"/>
          <w:sz w:val="24"/>
          <w:szCs w:val="24"/>
          <w:vertAlign w:val="superscript"/>
        </w:rPr>
        <w:t>o</w:t>
      </w:r>
      <w:r w:rsidR="004762F5" w:rsidRPr="00A10CE1">
        <w:rPr>
          <w:b w:val="0"/>
          <w:sz w:val="24"/>
          <w:szCs w:val="24"/>
        </w:rPr>
        <w:t>S-90</w:t>
      </w:r>
      <w:r w:rsidR="004762F5" w:rsidRPr="00A10CE1">
        <w:rPr>
          <w:b w:val="0"/>
          <w:sz w:val="24"/>
          <w:szCs w:val="24"/>
          <w:vertAlign w:val="superscript"/>
        </w:rPr>
        <w:t xml:space="preserve"> o</w:t>
      </w:r>
      <w:r w:rsidR="004762F5" w:rsidRPr="00A10CE1">
        <w:rPr>
          <w:b w:val="0"/>
          <w:sz w:val="24"/>
          <w:szCs w:val="24"/>
        </w:rPr>
        <w:t>S; d).</w:t>
      </w:r>
    </w:p>
    <w:p w14:paraId="0CB600CA" w14:textId="77777777" w:rsidR="004762F5" w:rsidRDefault="004762F5" w:rsidP="004762F5">
      <w:pPr>
        <w:rPr>
          <w:lang w:val="en-GB" w:eastAsia="de-DE"/>
        </w:rPr>
      </w:pPr>
    </w:p>
    <w:p w14:paraId="3D491029" w14:textId="77777777" w:rsidR="004762F5" w:rsidRDefault="004762F5" w:rsidP="004762F5">
      <w:pPr>
        <w:rPr>
          <w:lang w:val="en-GB" w:eastAsia="de-DE"/>
        </w:rPr>
      </w:pPr>
    </w:p>
    <w:p w14:paraId="36FDD960" w14:textId="77777777" w:rsidR="004762F5" w:rsidRDefault="004762F5" w:rsidP="004762F5">
      <w:pPr>
        <w:rPr>
          <w:lang w:val="en-GB" w:eastAsia="de-DE"/>
        </w:rPr>
      </w:pPr>
    </w:p>
    <w:p w14:paraId="4389019B" w14:textId="77777777" w:rsidR="004762F5" w:rsidRDefault="004762F5" w:rsidP="004762F5">
      <w:pPr>
        <w:rPr>
          <w:lang w:val="en-GB" w:eastAsia="de-DE"/>
        </w:rPr>
      </w:pPr>
    </w:p>
    <w:p w14:paraId="7A0F66F4" w14:textId="77777777" w:rsidR="004762F5" w:rsidRDefault="004762F5" w:rsidP="004762F5">
      <w:pPr>
        <w:rPr>
          <w:lang w:val="en-GB" w:eastAsia="de-DE"/>
        </w:rPr>
      </w:pPr>
    </w:p>
    <w:p w14:paraId="376859B4" w14:textId="77777777" w:rsidR="00893047" w:rsidRDefault="00893047" w:rsidP="00893047">
      <w:pPr>
        <w:spacing w:before="120" w:line="360" w:lineRule="auto"/>
        <w:jc w:val="both"/>
        <w:rPr>
          <w:rFonts w:ascii="Times New Roman" w:eastAsia="Times New Roman" w:hAnsi="Times New Roman" w:cs="Times New Roman"/>
          <w:b/>
          <w:color w:val="000000"/>
        </w:rPr>
      </w:pPr>
      <w:r w:rsidRPr="00C27C89">
        <w:rPr>
          <w:rFonts w:ascii="Times New Roman" w:eastAsia="Times New Roman" w:hAnsi="Times New Roman" w:cs="Times New Roman"/>
          <w:b/>
          <w:noProof/>
          <w:color w:val="000000"/>
        </w:rPr>
        <w:lastRenderedPageBreak/>
        <mc:AlternateContent>
          <mc:Choice Requires="wps">
            <w:drawing>
              <wp:anchor distT="0" distB="0" distL="114300" distR="114300" simplePos="0" relativeHeight="251700224" behindDoc="0" locked="0" layoutInCell="1" allowOverlap="1" wp14:anchorId="43A8ABA9" wp14:editId="38CE56E0">
                <wp:simplePos x="0" y="0"/>
                <wp:positionH relativeFrom="column">
                  <wp:posOffset>1731127</wp:posOffset>
                </wp:positionH>
                <wp:positionV relativeFrom="paragraph">
                  <wp:posOffset>116840</wp:posOffset>
                </wp:positionV>
                <wp:extent cx="834390" cy="266700"/>
                <wp:effectExtent l="0" t="0" r="0" b="0"/>
                <wp:wrapSquare wrapText="bothSides"/>
                <wp:docPr id="8" name="TextBox 2"/>
                <wp:cNvGraphicFramePr/>
                <a:graphic xmlns:a="http://schemas.openxmlformats.org/drawingml/2006/main">
                  <a:graphicData uri="http://schemas.microsoft.com/office/word/2010/wordprocessingShape">
                    <wps:wsp>
                      <wps:cNvSpPr txBox="1"/>
                      <wps:spPr>
                        <a:xfrm>
                          <a:off x="0" y="0"/>
                          <a:ext cx="834390" cy="266700"/>
                        </a:xfrm>
                        <a:prstGeom prst="rect">
                          <a:avLst/>
                        </a:prstGeom>
                        <a:noFill/>
                      </wps:spPr>
                      <wps:txbx>
                        <w:txbxContent>
                          <w:p w14:paraId="7DCBE49B" w14:textId="77777777" w:rsidR="00897973" w:rsidRPr="00CB056E" w:rsidRDefault="00897973" w:rsidP="00893047">
                            <w:pPr>
                              <w:pStyle w:val="NormalWeb"/>
                              <w:spacing w:before="0" w:beforeAutospacing="0" w:after="0" w:afterAutospacing="0"/>
                            </w:pPr>
                            <w:r w:rsidRPr="00CB056E">
                              <w:rPr>
                                <w:rFonts w:ascii="Arial" w:eastAsia="Arial" w:hAnsi="Arial" w:cs="Arial"/>
                                <w:color w:val="000000" w:themeColor="text1"/>
                                <w:kern w:val="24"/>
                              </w:rPr>
                              <w:t>(a) NH</w:t>
                            </w:r>
                          </w:p>
                        </w:txbxContent>
                      </wps:txbx>
                      <wps:bodyPr wrap="square" rtlCol="0">
                        <a:spAutoFit/>
                      </wps:bodyPr>
                    </wps:wsp>
                  </a:graphicData>
                </a:graphic>
              </wp:anchor>
            </w:drawing>
          </mc:Choice>
          <mc:Fallback>
            <w:pict>
              <v:shape w14:anchorId="43A8ABA9" id="TextBox 2" o:spid="_x0000_s1027" type="#_x0000_t202" style="position:absolute;left:0;text-align:left;margin-left:136.3pt;margin-top:9.2pt;width:65.7pt;height:21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" filled="f" stroked="f">
                <v:textbox style="mso-fit-shape-to-text:t">
                  <w:txbxContent>
                    <w:p w14:paraId="7DCBE49B" w14:textId="77777777" w:rsidR="00897973" w:rsidRPr="00CB056E" w:rsidRDefault="00897973" w:rsidP="00893047">
                      <w:pPr>
                        <w:pStyle w:val="NormalWeb"/>
                        <w:spacing w:before="0" w:beforeAutospacing="0" w:after="0" w:afterAutospacing="0"/>
                      </w:pPr>
                      <w:r w:rsidRPr="00CB056E">
                        <w:rPr>
                          <w:rFonts w:ascii="Arial" w:eastAsia="Arial" w:hAnsi="Arial" w:cs="Arial"/>
                          <w:color w:val="000000" w:themeColor="text1"/>
                          <w:kern w:val="24"/>
                        </w:rPr>
                        <w:t>(a) NH</w:t>
                      </w:r>
                    </w:p>
                  </w:txbxContent>
                </v:textbox>
                <w10:wrap type="square"/>
              </v:shape>
            </w:pict>
          </mc:Fallback>
        </mc:AlternateContent>
      </w:r>
      <w:r>
        <w:rPr>
          <w:rFonts w:ascii="Times New Roman" w:eastAsia="Times New Roman" w:hAnsi="Times New Roman" w:cs="Times New Roman"/>
          <w:b/>
          <w:noProof/>
          <w:color w:val="000000"/>
        </w:rPr>
        <mc:AlternateContent>
          <mc:Choice Requires="wps">
            <w:drawing>
              <wp:anchor distT="0" distB="0" distL="114300" distR="114300" simplePos="0" relativeHeight="251698176" behindDoc="0" locked="0" layoutInCell="1" allowOverlap="1" wp14:anchorId="5EE7991A" wp14:editId="75E97074">
                <wp:simplePos x="0" y="0"/>
                <wp:positionH relativeFrom="column">
                  <wp:posOffset>1308852</wp:posOffset>
                </wp:positionH>
                <wp:positionV relativeFrom="paragraph">
                  <wp:posOffset>0</wp:posOffset>
                </wp:positionV>
                <wp:extent cx="3543300" cy="4457700"/>
                <wp:effectExtent l="0" t="0" r="0" b="12700"/>
                <wp:wrapSquare wrapText="bothSides"/>
                <wp:docPr id="6" name="Text Box 6"/>
                <wp:cNvGraphicFramePr/>
                <a:graphic xmlns:a="http://schemas.openxmlformats.org/drawingml/2006/main">
                  <a:graphicData uri="http://schemas.microsoft.com/office/word/2010/wordprocessingShape">
                    <wps:wsp>
                      <wps:cNvSpPr txBox="1"/>
                      <wps:spPr>
                        <a:xfrm>
                          <a:off x="0" y="0"/>
                          <a:ext cx="3543300" cy="44577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20DFD35" w14:textId="77777777" w:rsidR="00897973" w:rsidRDefault="00897973" w:rsidP="00893047">
                            <w:r w:rsidRPr="00021727">
                              <w:rPr>
                                <w:rFonts w:ascii="Times New Roman" w:eastAsia="Times New Roman" w:hAnsi="Times New Roman" w:cs="Times New Roman"/>
                                <w:b/>
                                <w:noProof/>
                                <w:color w:val="000000"/>
                              </w:rPr>
                              <w:drawing>
                                <wp:inline distT="0" distB="0" distL="0" distR="0" wp14:anchorId="3DB792AD" wp14:editId="4682C812">
                                  <wp:extent cx="3023235" cy="4406927"/>
                                  <wp:effectExtent l="0" t="0" r="0" b="1270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0"/>
                                          <a:stretch>
                                            <a:fillRect/>
                                          </a:stretch>
                                        </pic:blipFill>
                                        <pic:spPr>
                                          <a:xfrm>
                                            <a:off x="0" y="0"/>
                                            <a:ext cx="3030722" cy="441784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EE7991A" id="Text Box 6" o:spid="_x0000_s1028" type="#_x0000_t202" style="position:absolute;left:0;text-align:left;margin-left:103.05pt;margin-top:0;width:279pt;height:351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" filled="f" stroked="f">
                <v:textbox>
                  <w:txbxContent>
                    <w:p w14:paraId="120DFD35" w14:textId="77777777" w:rsidR="00897973" w:rsidRDefault="00897973" w:rsidP="00893047">
                      <w:r w:rsidRPr="00021727">
                        <w:rPr>
                          <w:rFonts w:ascii="Times New Roman" w:eastAsia="Times New Roman" w:hAnsi="Times New Roman" w:cs="Times New Roman"/>
                          <w:b/>
                          <w:noProof/>
                          <w:color w:val="000000"/>
                        </w:rPr>
                        <w:drawing>
                          <wp:inline distT="0" distB="0" distL="0" distR="0" wp14:anchorId="3DB792AD" wp14:editId="4682C812">
                            <wp:extent cx="3023235" cy="4406927"/>
                            <wp:effectExtent l="0" t="0" r="0" b="1270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0"/>
                                    <a:stretch>
                                      <a:fillRect/>
                                    </a:stretch>
                                  </pic:blipFill>
                                  <pic:spPr>
                                    <a:xfrm>
                                      <a:off x="0" y="0"/>
                                      <a:ext cx="3030722" cy="4417841"/>
                                    </a:xfrm>
                                    <a:prstGeom prst="rect">
                                      <a:avLst/>
                                    </a:prstGeom>
                                  </pic:spPr>
                                </pic:pic>
                              </a:graphicData>
                            </a:graphic>
                          </wp:inline>
                        </w:drawing>
                      </w:r>
                    </w:p>
                  </w:txbxContent>
                </v:textbox>
                <w10:wrap type="square"/>
              </v:shape>
            </w:pict>
          </mc:Fallback>
        </mc:AlternateContent>
      </w:r>
    </w:p>
    <w:p w14:paraId="394617AC" w14:textId="77777777" w:rsidR="00893047" w:rsidRDefault="00893047" w:rsidP="00893047">
      <w:pPr>
        <w:spacing w:before="120" w:line="360" w:lineRule="auto"/>
        <w:jc w:val="both"/>
        <w:rPr>
          <w:rFonts w:ascii="Times New Roman" w:eastAsia="Times New Roman" w:hAnsi="Times New Roman" w:cs="Times New Roman"/>
          <w:b/>
          <w:color w:val="000000"/>
        </w:rPr>
      </w:pPr>
    </w:p>
    <w:p w14:paraId="5106EDB0" w14:textId="77777777" w:rsidR="00893047" w:rsidRDefault="00893047" w:rsidP="00893047">
      <w:pPr>
        <w:spacing w:before="120" w:line="360" w:lineRule="auto"/>
        <w:jc w:val="both"/>
        <w:rPr>
          <w:rFonts w:ascii="Times New Roman" w:eastAsia="Times New Roman" w:hAnsi="Times New Roman" w:cs="Times New Roman"/>
          <w:b/>
          <w:color w:val="000000"/>
        </w:rPr>
      </w:pPr>
    </w:p>
    <w:p w14:paraId="11D9485D" w14:textId="77777777" w:rsidR="00893047" w:rsidRDefault="00893047" w:rsidP="00893047">
      <w:pPr>
        <w:spacing w:before="120" w:line="360" w:lineRule="auto"/>
        <w:jc w:val="both"/>
        <w:rPr>
          <w:rFonts w:ascii="Times New Roman" w:eastAsia="Times New Roman" w:hAnsi="Times New Roman" w:cs="Times New Roman"/>
          <w:b/>
          <w:color w:val="000000"/>
        </w:rPr>
      </w:pPr>
      <w:r w:rsidRPr="00C27C89">
        <w:rPr>
          <w:rFonts w:ascii="Times New Roman" w:eastAsia="Times New Roman" w:hAnsi="Times New Roman" w:cs="Times New Roman"/>
          <w:b/>
          <w:noProof/>
          <w:color w:val="000000"/>
        </w:rPr>
        <mc:AlternateContent>
          <mc:Choice Requires="wps">
            <w:drawing>
              <wp:anchor distT="0" distB="0" distL="114300" distR="114300" simplePos="0" relativeHeight="251701248" behindDoc="0" locked="0" layoutInCell="1" allowOverlap="1" wp14:anchorId="178C1591" wp14:editId="7424263A">
                <wp:simplePos x="0" y="0"/>
                <wp:positionH relativeFrom="column">
                  <wp:posOffset>1765300</wp:posOffset>
                </wp:positionH>
                <wp:positionV relativeFrom="paragraph">
                  <wp:posOffset>204042</wp:posOffset>
                </wp:positionV>
                <wp:extent cx="834390" cy="266700"/>
                <wp:effectExtent l="0" t="0" r="0" b="0"/>
                <wp:wrapSquare wrapText="bothSides"/>
                <wp:docPr id="9" name="TextBox 3"/>
                <wp:cNvGraphicFramePr/>
                <a:graphic xmlns:a="http://schemas.openxmlformats.org/drawingml/2006/main">
                  <a:graphicData uri="http://schemas.microsoft.com/office/word/2010/wordprocessingShape">
                    <wps:wsp>
                      <wps:cNvSpPr txBox="1"/>
                      <wps:spPr>
                        <a:xfrm>
                          <a:off x="0" y="0"/>
                          <a:ext cx="834390" cy="266700"/>
                        </a:xfrm>
                        <a:prstGeom prst="rect">
                          <a:avLst/>
                        </a:prstGeom>
                        <a:noFill/>
                      </wps:spPr>
                      <wps:txbx>
                        <w:txbxContent>
                          <w:p w14:paraId="2242307C" w14:textId="77777777" w:rsidR="00897973" w:rsidRPr="00CB056E" w:rsidRDefault="00897973" w:rsidP="00893047">
                            <w:pPr>
                              <w:pStyle w:val="NormalWeb"/>
                              <w:spacing w:before="0" w:beforeAutospacing="0" w:after="0" w:afterAutospacing="0"/>
                            </w:pPr>
                            <w:r w:rsidRPr="00CB056E">
                              <w:rPr>
                                <w:rFonts w:ascii="Arial" w:eastAsia="Arial" w:hAnsi="Arial" w:cs="Arial"/>
                                <w:color w:val="000000" w:themeColor="text1"/>
                                <w:kern w:val="24"/>
                              </w:rPr>
                              <w:t>(b) NT</w:t>
                            </w:r>
                          </w:p>
                        </w:txbxContent>
                      </wps:txbx>
                      <wps:bodyPr wrap="square" rtlCol="0">
                        <a:spAutoFit/>
                      </wps:bodyPr>
                    </wps:wsp>
                  </a:graphicData>
                </a:graphic>
              </wp:anchor>
            </w:drawing>
          </mc:Choice>
          <mc:Fallback>
            <w:pict>
              <v:shape w14:anchorId="178C1591" id="TextBox 3" o:spid="_x0000_s1029" type="#_x0000_t202" style="position:absolute;left:0;text-align:left;margin-left:139pt;margin-top:16.05pt;width:65.7pt;height:21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" filled="f" stroked="f">
                <v:textbox style="mso-fit-shape-to-text:t">
                  <w:txbxContent>
                    <w:p w14:paraId="2242307C" w14:textId="77777777" w:rsidR="00897973" w:rsidRPr="00CB056E" w:rsidRDefault="00897973" w:rsidP="00893047">
                      <w:pPr>
                        <w:pStyle w:val="NormalWeb"/>
                        <w:spacing w:before="0" w:beforeAutospacing="0" w:after="0" w:afterAutospacing="0"/>
                      </w:pPr>
                      <w:r w:rsidRPr="00CB056E">
                        <w:rPr>
                          <w:rFonts w:ascii="Arial" w:eastAsia="Arial" w:hAnsi="Arial" w:cs="Arial"/>
                          <w:color w:val="000000" w:themeColor="text1"/>
                          <w:kern w:val="24"/>
                        </w:rPr>
                        <w:t>(b) NT</w:t>
                      </w:r>
                    </w:p>
                  </w:txbxContent>
                </v:textbox>
                <w10:wrap type="square"/>
              </v:shape>
            </w:pict>
          </mc:Fallback>
        </mc:AlternateContent>
      </w:r>
    </w:p>
    <w:p w14:paraId="57B9DFF1" w14:textId="77777777" w:rsidR="00893047" w:rsidRDefault="00893047" w:rsidP="00893047">
      <w:pPr>
        <w:spacing w:before="120" w:line="360" w:lineRule="auto"/>
        <w:jc w:val="both"/>
        <w:rPr>
          <w:rFonts w:ascii="Times New Roman" w:eastAsia="Times New Roman" w:hAnsi="Times New Roman" w:cs="Times New Roman"/>
          <w:b/>
          <w:color w:val="000000"/>
        </w:rPr>
      </w:pPr>
    </w:p>
    <w:p w14:paraId="10D0F752" w14:textId="77777777" w:rsidR="00893047" w:rsidRDefault="00893047" w:rsidP="00893047">
      <w:pPr>
        <w:spacing w:before="120" w:line="360" w:lineRule="auto"/>
        <w:jc w:val="both"/>
        <w:rPr>
          <w:rFonts w:ascii="Times New Roman" w:eastAsia="Times New Roman" w:hAnsi="Times New Roman" w:cs="Times New Roman"/>
          <w:b/>
          <w:color w:val="000000"/>
        </w:rPr>
      </w:pPr>
    </w:p>
    <w:p w14:paraId="3BACC54E" w14:textId="77777777" w:rsidR="00893047" w:rsidRDefault="00893047" w:rsidP="00893047">
      <w:pPr>
        <w:spacing w:before="120" w:line="360" w:lineRule="auto"/>
        <w:jc w:val="both"/>
        <w:rPr>
          <w:rFonts w:ascii="Times New Roman" w:eastAsia="Times New Roman" w:hAnsi="Times New Roman" w:cs="Times New Roman"/>
          <w:b/>
          <w:color w:val="000000"/>
        </w:rPr>
      </w:pPr>
      <w:r w:rsidRPr="00C27C89">
        <w:rPr>
          <w:rFonts w:ascii="Times New Roman" w:eastAsia="Times New Roman" w:hAnsi="Times New Roman" w:cs="Times New Roman"/>
          <w:b/>
          <w:noProof/>
          <w:color w:val="000000"/>
        </w:rPr>
        <mc:AlternateContent>
          <mc:Choice Requires="wps">
            <w:drawing>
              <wp:anchor distT="0" distB="0" distL="114300" distR="114300" simplePos="0" relativeHeight="251702272" behindDoc="0" locked="0" layoutInCell="1" allowOverlap="1" wp14:anchorId="29DB7502" wp14:editId="6324A3F8">
                <wp:simplePos x="0" y="0"/>
                <wp:positionH relativeFrom="column">
                  <wp:posOffset>1764030</wp:posOffset>
                </wp:positionH>
                <wp:positionV relativeFrom="paragraph">
                  <wp:posOffset>292100</wp:posOffset>
                </wp:positionV>
                <wp:extent cx="834390" cy="266700"/>
                <wp:effectExtent l="0" t="0" r="0" b="0"/>
                <wp:wrapSquare wrapText="bothSides"/>
                <wp:docPr id="10" name="TextBox 4"/>
                <wp:cNvGraphicFramePr/>
                <a:graphic xmlns:a="http://schemas.openxmlformats.org/drawingml/2006/main">
                  <a:graphicData uri="http://schemas.microsoft.com/office/word/2010/wordprocessingShape">
                    <wps:wsp>
                      <wps:cNvSpPr txBox="1"/>
                      <wps:spPr>
                        <a:xfrm>
                          <a:off x="0" y="0"/>
                          <a:ext cx="834390" cy="266700"/>
                        </a:xfrm>
                        <a:prstGeom prst="rect">
                          <a:avLst/>
                        </a:prstGeom>
                        <a:noFill/>
                      </wps:spPr>
                      <wps:txbx>
                        <w:txbxContent>
                          <w:p w14:paraId="604AC5A2" w14:textId="77777777" w:rsidR="00897973" w:rsidRPr="00CB056E" w:rsidRDefault="00897973" w:rsidP="00893047">
                            <w:pPr>
                              <w:pStyle w:val="NormalWeb"/>
                              <w:spacing w:before="0" w:beforeAutospacing="0" w:after="0" w:afterAutospacing="0"/>
                            </w:pPr>
                            <w:r w:rsidRPr="00CB056E">
                              <w:rPr>
                                <w:rFonts w:ascii="Arial" w:eastAsia="Arial" w:hAnsi="Arial" w:cs="Arial"/>
                                <w:color w:val="000000" w:themeColor="text1"/>
                                <w:kern w:val="24"/>
                              </w:rPr>
                              <w:t>(c) ST</w:t>
                            </w:r>
                          </w:p>
                        </w:txbxContent>
                      </wps:txbx>
                      <wps:bodyPr wrap="square" rtlCol="0">
                        <a:spAutoFit/>
                      </wps:bodyPr>
                    </wps:wsp>
                  </a:graphicData>
                </a:graphic>
              </wp:anchor>
            </w:drawing>
          </mc:Choice>
          <mc:Fallback>
            <w:pict>
              <v:shape w14:anchorId="29DB7502" id="TextBox 4" o:spid="_x0000_s1030" type="#_x0000_t202" style="position:absolute;left:0;text-align:left;margin-left:138.9pt;margin-top:23pt;width:65.7pt;height:21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" filled="f" stroked="f">
                <v:textbox style="mso-fit-shape-to-text:t">
                  <w:txbxContent>
                    <w:p w14:paraId="604AC5A2" w14:textId="77777777" w:rsidR="00897973" w:rsidRPr="00CB056E" w:rsidRDefault="00897973" w:rsidP="00893047">
                      <w:pPr>
                        <w:pStyle w:val="NormalWeb"/>
                        <w:spacing w:before="0" w:beforeAutospacing="0" w:after="0" w:afterAutospacing="0"/>
                      </w:pPr>
                      <w:r w:rsidRPr="00CB056E">
                        <w:rPr>
                          <w:rFonts w:ascii="Arial" w:eastAsia="Arial" w:hAnsi="Arial" w:cs="Arial"/>
                          <w:color w:val="000000" w:themeColor="text1"/>
                          <w:kern w:val="24"/>
                        </w:rPr>
                        <w:t>(c) ST</w:t>
                      </w:r>
                    </w:p>
                  </w:txbxContent>
                </v:textbox>
                <w10:wrap type="square"/>
              </v:shape>
            </w:pict>
          </mc:Fallback>
        </mc:AlternateContent>
      </w:r>
      <w:r w:rsidRPr="00C27C89">
        <w:rPr>
          <w:rFonts w:ascii="Times New Roman" w:eastAsia="Times New Roman" w:hAnsi="Times New Roman" w:cs="Times New Roman"/>
          <w:b/>
          <w:noProof/>
          <w:color w:val="000000"/>
        </w:rPr>
        <mc:AlternateContent>
          <mc:Choice Requires="wps">
            <w:drawing>
              <wp:anchor distT="0" distB="0" distL="114300" distR="114300" simplePos="0" relativeHeight="251699200" behindDoc="0" locked="0" layoutInCell="1" allowOverlap="1" wp14:anchorId="0FB33D8F" wp14:editId="6A4D4FF8">
                <wp:simplePos x="0" y="0"/>
                <wp:positionH relativeFrom="column">
                  <wp:posOffset>710565</wp:posOffset>
                </wp:positionH>
                <wp:positionV relativeFrom="paragraph">
                  <wp:posOffset>124460</wp:posOffset>
                </wp:positionV>
                <wp:extent cx="861060" cy="295910"/>
                <wp:effectExtent l="0" t="0" r="0" b="0"/>
                <wp:wrapSquare wrapText="bothSides"/>
                <wp:docPr id="7" name="TextBox 1"/>
                <wp:cNvGraphicFramePr/>
                <a:graphic xmlns:a="http://schemas.openxmlformats.org/drawingml/2006/main">
                  <a:graphicData uri="http://schemas.microsoft.com/office/word/2010/wordprocessingShape">
                    <wps:wsp>
                      <wps:cNvSpPr txBox="1"/>
                      <wps:spPr>
                        <a:xfrm rot="16200000">
                          <a:off x="0" y="0"/>
                          <a:ext cx="861060" cy="295910"/>
                        </a:xfrm>
                        <a:prstGeom prst="rect">
                          <a:avLst/>
                        </a:prstGeom>
                        <a:noFill/>
                      </wps:spPr>
                      <wps:txbx>
                        <w:txbxContent>
                          <w:p w14:paraId="2F8CC7B9" w14:textId="77777777" w:rsidR="00897973" w:rsidRPr="00CB056E" w:rsidRDefault="00897973" w:rsidP="00893047">
                            <w:pPr>
                              <w:pStyle w:val="NormalWeb"/>
                              <w:spacing w:before="0" w:beforeAutospacing="0" w:after="0" w:afterAutospacing="0"/>
                              <w:rPr>
                                <w:sz w:val="28"/>
                                <w:szCs w:val="28"/>
                              </w:rPr>
                            </w:pPr>
                            <w:r w:rsidRPr="00CB056E">
                              <w:rPr>
                                <w:rFonts w:ascii="Arial" w:eastAsia="Arial" w:hAnsi="Arial" w:cs="Arial"/>
                                <w:color w:val="000000" w:themeColor="text1"/>
                                <w:kern w:val="24"/>
                                <w:sz w:val="28"/>
                                <w:szCs w:val="28"/>
                              </w:rPr>
                              <w:t>LAI</w:t>
                            </w:r>
                          </w:p>
                        </w:txbxContent>
                      </wps:txbx>
                      <wps:bodyPr wrap="square" rtlCol="0">
                        <a:spAutoFit/>
                      </wps:bodyPr>
                    </wps:wsp>
                  </a:graphicData>
                </a:graphic>
              </wp:anchor>
            </w:drawing>
          </mc:Choice>
          <mc:Fallback>
            <w:pict>
              <v:shape w14:anchorId="0FB33D8F" id="TextBox 1" o:spid="_x0000_s1031" type="#_x0000_t202" style="position:absolute;left:0;text-align:left;margin-left:55.95pt;margin-top:9.8pt;width:67.8pt;height:23.3pt;rotation:-90;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" filled="f" stroked="f">
                <v:textbox style="mso-fit-shape-to-text:t">
                  <w:txbxContent>
                    <w:p w14:paraId="2F8CC7B9" w14:textId="77777777" w:rsidR="00897973" w:rsidRPr="00CB056E" w:rsidRDefault="00897973" w:rsidP="00893047">
                      <w:pPr>
                        <w:pStyle w:val="NormalWeb"/>
                        <w:spacing w:before="0" w:beforeAutospacing="0" w:after="0" w:afterAutospacing="0"/>
                        <w:rPr>
                          <w:sz w:val="28"/>
                          <w:szCs w:val="28"/>
                        </w:rPr>
                      </w:pPr>
                      <w:r w:rsidRPr="00CB056E">
                        <w:rPr>
                          <w:rFonts w:ascii="Arial" w:eastAsia="Arial" w:hAnsi="Arial" w:cs="Arial"/>
                          <w:color w:val="000000" w:themeColor="text1"/>
                          <w:kern w:val="24"/>
                          <w:sz w:val="28"/>
                          <w:szCs w:val="28"/>
                        </w:rPr>
                        <w:t>LAI</w:t>
                      </w:r>
                    </w:p>
                  </w:txbxContent>
                </v:textbox>
                <w10:wrap type="square"/>
              </v:shape>
            </w:pict>
          </mc:Fallback>
        </mc:AlternateContent>
      </w:r>
    </w:p>
    <w:p w14:paraId="6E1A03DF" w14:textId="77777777" w:rsidR="00893047" w:rsidRDefault="00893047" w:rsidP="00893047">
      <w:pPr>
        <w:spacing w:before="120" w:line="360" w:lineRule="auto"/>
        <w:jc w:val="both"/>
        <w:rPr>
          <w:rFonts w:ascii="Times New Roman" w:eastAsia="Times New Roman" w:hAnsi="Times New Roman" w:cs="Times New Roman"/>
          <w:b/>
          <w:color w:val="000000"/>
        </w:rPr>
      </w:pPr>
    </w:p>
    <w:p w14:paraId="7713673D" w14:textId="77777777" w:rsidR="00893047" w:rsidRDefault="00893047" w:rsidP="00893047">
      <w:pPr>
        <w:spacing w:before="120" w:line="360" w:lineRule="auto"/>
        <w:jc w:val="both"/>
        <w:rPr>
          <w:rFonts w:ascii="Times New Roman" w:eastAsia="Times New Roman" w:hAnsi="Times New Roman" w:cs="Times New Roman"/>
          <w:b/>
          <w:color w:val="000000"/>
        </w:rPr>
      </w:pPr>
    </w:p>
    <w:p w14:paraId="3E6C7849" w14:textId="77777777" w:rsidR="00893047" w:rsidRDefault="00893047" w:rsidP="00893047">
      <w:pPr>
        <w:spacing w:before="120" w:line="360" w:lineRule="auto"/>
        <w:jc w:val="both"/>
        <w:rPr>
          <w:rFonts w:ascii="Times New Roman" w:eastAsia="Times New Roman" w:hAnsi="Times New Roman" w:cs="Times New Roman"/>
          <w:b/>
          <w:color w:val="000000"/>
        </w:rPr>
      </w:pPr>
    </w:p>
    <w:p w14:paraId="624F5C5D" w14:textId="77777777" w:rsidR="00893047" w:rsidRDefault="00893047" w:rsidP="00893047">
      <w:pPr>
        <w:spacing w:before="120" w:line="360" w:lineRule="auto"/>
        <w:jc w:val="both"/>
        <w:rPr>
          <w:rFonts w:ascii="Times New Roman" w:eastAsia="Times New Roman" w:hAnsi="Times New Roman" w:cs="Times New Roman"/>
          <w:b/>
          <w:color w:val="000000"/>
        </w:rPr>
      </w:pPr>
      <w:r w:rsidRPr="00C27C89">
        <w:rPr>
          <w:rFonts w:ascii="Times New Roman" w:eastAsia="Times New Roman" w:hAnsi="Times New Roman" w:cs="Times New Roman"/>
          <w:b/>
          <w:noProof/>
          <w:color w:val="000000"/>
        </w:rPr>
        <mc:AlternateContent>
          <mc:Choice Requires="wps">
            <w:drawing>
              <wp:anchor distT="0" distB="0" distL="114300" distR="114300" simplePos="0" relativeHeight="251703296" behindDoc="0" locked="0" layoutInCell="1" allowOverlap="1" wp14:anchorId="3301BFB3" wp14:editId="6524115D">
                <wp:simplePos x="0" y="0"/>
                <wp:positionH relativeFrom="column">
                  <wp:posOffset>1655445</wp:posOffset>
                </wp:positionH>
                <wp:positionV relativeFrom="paragraph">
                  <wp:posOffset>6985</wp:posOffset>
                </wp:positionV>
                <wp:extent cx="834390" cy="266700"/>
                <wp:effectExtent l="0" t="0" r="0" b="0"/>
                <wp:wrapSquare wrapText="bothSides"/>
                <wp:docPr id="11" name="TextBox 5"/>
                <wp:cNvGraphicFramePr/>
                <a:graphic xmlns:a="http://schemas.openxmlformats.org/drawingml/2006/main">
                  <a:graphicData uri="http://schemas.microsoft.com/office/word/2010/wordprocessingShape">
                    <wps:wsp>
                      <wps:cNvSpPr txBox="1"/>
                      <wps:spPr>
                        <a:xfrm>
                          <a:off x="0" y="0"/>
                          <a:ext cx="834390" cy="266700"/>
                        </a:xfrm>
                        <a:prstGeom prst="rect">
                          <a:avLst/>
                        </a:prstGeom>
                        <a:noFill/>
                      </wps:spPr>
                      <wps:txbx>
                        <w:txbxContent>
                          <w:p w14:paraId="46D6BEF3" w14:textId="77777777" w:rsidR="00897973" w:rsidRPr="00CB056E" w:rsidRDefault="00897973" w:rsidP="00893047">
                            <w:pPr>
                              <w:pStyle w:val="NormalWeb"/>
                              <w:spacing w:before="0" w:beforeAutospacing="0" w:after="0" w:afterAutospacing="0"/>
                            </w:pPr>
                            <w:r w:rsidRPr="00CB056E">
                              <w:rPr>
                                <w:rFonts w:ascii="Arial" w:eastAsia="Arial" w:hAnsi="Arial" w:cs="Arial"/>
                                <w:color w:val="000000" w:themeColor="text1"/>
                                <w:kern w:val="24"/>
                              </w:rPr>
                              <w:t>(d) SH</w:t>
                            </w:r>
                          </w:p>
                        </w:txbxContent>
                      </wps:txbx>
                      <wps:bodyPr wrap="square" rtlCol="0">
                        <a:spAutoFit/>
                      </wps:bodyPr>
                    </wps:wsp>
                  </a:graphicData>
                </a:graphic>
              </wp:anchor>
            </w:drawing>
          </mc:Choice>
          <mc:Fallback>
            <w:pict>
              <v:shape w14:anchorId="3301BFB3" id="TextBox 5" o:spid="_x0000_s1032" type="#_x0000_t202" style="position:absolute;left:0;text-align:left;margin-left:130.35pt;margin-top:.55pt;width:65.7pt;height:21pt;z-index:25170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" filled="f" stroked="f">
                <v:textbox style="mso-fit-shape-to-text:t">
                  <w:txbxContent>
                    <w:p w14:paraId="46D6BEF3" w14:textId="77777777" w:rsidR="00897973" w:rsidRPr="00CB056E" w:rsidRDefault="00897973" w:rsidP="00893047">
                      <w:pPr>
                        <w:pStyle w:val="NormalWeb"/>
                        <w:spacing w:before="0" w:beforeAutospacing="0" w:after="0" w:afterAutospacing="0"/>
                      </w:pPr>
                      <w:r w:rsidRPr="00CB056E">
                        <w:rPr>
                          <w:rFonts w:ascii="Arial" w:eastAsia="Arial" w:hAnsi="Arial" w:cs="Arial"/>
                          <w:color w:val="000000" w:themeColor="text1"/>
                          <w:kern w:val="24"/>
                        </w:rPr>
                        <w:t>(d) SH</w:t>
                      </w:r>
                    </w:p>
                  </w:txbxContent>
                </v:textbox>
                <w10:wrap type="square"/>
              </v:shape>
            </w:pict>
          </mc:Fallback>
        </mc:AlternateContent>
      </w:r>
    </w:p>
    <w:p w14:paraId="19973F71" w14:textId="77777777" w:rsidR="00893047" w:rsidRDefault="00893047" w:rsidP="00893047">
      <w:pPr>
        <w:spacing w:before="120" w:line="360" w:lineRule="auto"/>
        <w:jc w:val="both"/>
        <w:rPr>
          <w:rFonts w:ascii="Times New Roman" w:eastAsia="Times New Roman" w:hAnsi="Times New Roman" w:cs="Times New Roman"/>
          <w:b/>
          <w:color w:val="000000"/>
        </w:rPr>
      </w:pPr>
    </w:p>
    <w:p w14:paraId="5A699BDB" w14:textId="77777777" w:rsidR="00893047" w:rsidRDefault="00893047" w:rsidP="00893047">
      <w:pPr>
        <w:spacing w:before="120" w:line="360" w:lineRule="auto"/>
        <w:jc w:val="both"/>
        <w:rPr>
          <w:rFonts w:ascii="Times New Roman" w:eastAsia="Times New Roman" w:hAnsi="Times New Roman" w:cs="Times New Roman"/>
          <w:b/>
          <w:color w:val="000000"/>
        </w:rPr>
      </w:pPr>
    </w:p>
    <w:p w14:paraId="208CF72E" w14:textId="77777777" w:rsidR="00893047" w:rsidRDefault="00893047" w:rsidP="00893047">
      <w:pPr>
        <w:spacing w:before="120" w:line="360" w:lineRule="auto"/>
        <w:jc w:val="both"/>
        <w:rPr>
          <w:rFonts w:ascii="Times New Roman" w:eastAsia="Times New Roman" w:hAnsi="Times New Roman" w:cs="Times New Roman"/>
          <w:b/>
          <w:color w:val="000000"/>
        </w:rPr>
      </w:pPr>
    </w:p>
    <w:p w14:paraId="5AF35249" w14:textId="22D51F19" w:rsidR="00893047" w:rsidRDefault="00893047" w:rsidP="00757ABE">
      <w:pPr>
        <w:spacing w:before="120"/>
        <w:jc w:val="both"/>
        <w:rPr>
          <w:rFonts w:ascii="Times New Roman" w:eastAsia="Times New Roman" w:hAnsi="Times New Roman" w:cs="Times New Roman"/>
          <w:color w:val="000000"/>
        </w:rPr>
      </w:pPr>
      <w:r>
        <w:rPr>
          <w:rFonts w:ascii="Times New Roman" w:eastAsia="Times New Roman" w:hAnsi="Times New Roman" w:cs="Times New Roman"/>
          <w:b/>
          <w:color w:val="000000"/>
        </w:rPr>
        <w:t>Figure S</w:t>
      </w:r>
      <w:r w:rsidR="00A33A59">
        <w:rPr>
          <w:rFonts w:ascii="Times New Roman" w:eastAsia="Times New Roman" w:hAnsi="Times New Roman" w:cs="Times New Roman"/>
          <w:b/>
          <w:color w:val="000000"/>
        </w:rPr>
        <w:t>10</w:t>
      </w:r>
      <w:r>
        <w:rPr>
          <w:rFonts w:ascii="Times New Roman" w:eastAsia="Times New Roman" w:hAnsi="Times New Roman" w:cs="Times New Roman"/>
          <w:color w:val="000000"/>
        </w:rPr>
        <w:t xml:space="preserve"> Seasonal cycle of LAI derived from GIMMS, ORCHIDEE and ORCHIDEE-CNP</w:t>
      </w:r>
      <w:r>
        <w:rPr>
          <w:rFonts w:ascii="Times New Roman" w:eastAsia="Times New Roman" w:hAnsi="Times New Roman" w:cs="Times New Roman"/>
        </w:rPr>
        <w:t xml:space="preserve"> for the northern hemisphere (30</w:t>
      </w:r>
      <w:r>
        <w:rPr>
          <w:rFonts w:ascii="Times New Roman" w:eastAsia="Times New Roman" w:hAnsi="Times New Roman" w:cs="Times New Roman"/>
          <w:vertAlign w:val="superscript"/>
        </w:rPr>
        <w:t>o</w:t>
      </w:r>
      <w:r>
        <w:rPr>
          <w:rFonts w:ascii="Times New Roman" w:eastAsia="Times New Roman" w:hAnsi="Times New Roman" w:cs="Times New Roman"/>
        </w:rPr>
        <w:t>N-90</w:t>
      </w:r>
      <w:r>
        <w:rPr>
          <w:rFonts w:ascii="Times New Roman" w:eastAsia="Times New Roman" w:hAnsi="Times New Roman" w:cs="Times New Roman"/>
          <w:vertAlign w:val="superscript"/>
        </w:rPr>
        <w:t xml:space="preserve"> o</w:t>
      </w:r>
      <w:r>
        <w:rPr>
          <w:rFonts w:ascii="Times New Roman" w:eastAsia="Times New Roman" w:hAnsi="Times New Roman" w:cs="Times New Roman"/>
        </w:rPr>
        <w:t>N; a), the north tropical (0</w:t>
      </w:r>
      <w:r>
        <w:rPr>
          <w:rFonts w:ascii="Times New Roman" w:eastAsia="Times New Roman" w:hAnsi="Times New Roman" w:cs="Times New Roman"/>
          <w:vertAlign w:val="superscript"/>
        </w:rPr>
        <w:t>o</w:t>
      </w:r>
      <w:r>
        <w:rPr>
          <w:rFonts w:ascii="Times New Roman" w:eastAsia="Times New Roman" w:hAnsi="Times New Roman" w:cs="Times New Roman"/>
        </w:rPr>
        <w:t>-30</w:t>
      </w:r>
      <w:r>
        <w:rPr>
          <w:rFonts w:ascii="Times New Roman" w:eastAsia="Times New Roman" w:hAnsi="Times New Roman" w:cs="Times New Roman"/>
          <w:vertAlign w:val="superscript"/>
        </w:rPr>
        <w:t>o</w:t>
      </w:r>
      <w:r>
        <w:rPr>
          <w:rFonts w:ascii="Times New Roman" w:eastAsia="Times New Roman" w:hAnsi="Times New Roman" w:cs="Times New Roman"/>
        </w:rPr>
        <w:t>N; b), the south tropical (0</w:t>
      </w:r>
      <w:r>
        <w:rPr>
          <w:rFonts w:ascii="Times New Roman" w:eastAsia="Times New Roman" w:hAnsi="Times New Roman" w:cs="Times New Roman"/>
          <w:vertAlign w:val="superscript"/>
        </w:rPr>
        <w:t>o</w:t>
      </w:r>
      <w:r>
        <w:rPr>
          <w:rFonts w:ascii="Times New Roman" w:eastAsia="Times New Roman" w:hAnsi="Times New Roman" w:cs="Times New Roman"/>
        </w:rPr>
        <w:t>-30</w:t>
      </w:r>
      <w:r>
        <w:rPr>
          <w:rFonts w:ascii="Times New Roman" w:eastAsia="Times New Roman" w:hAnsi="Times New Roman" w:cs="Times New Roman"/>
          <w:vertAlign w:val="superscript"/>
        </w:rPr>
        <w:t xml:space="preserve"> o</w:t>
      </w:r>
      <w:r>
        <w:rPr>
          <w:rFonts w:ascii="Times New Roman" w:eastAsia="Times New Roman" w:hAnsi="Times New Roman" w:cs="Times New Roman"/>
        </w:rPr>
        <w:t>S; c) and the southern hemisphere (30</w:t>
      </w:r>
      <w:r>
        <w:rPr>
          <w:rFonts w:ascii="Times New Roman" w:eastAsia="Times New Roman" w:hAnsi="Times New Roman" w:cs="Times New Roman"/>
          <w:vertAlign w:val="superscript"/>
        </w:rPr>
        <w:t>o</w:t>
      </w:r>
      <w:r>
        <w:rPr>
          <w:rFonts w:ascii="Times New Roman" w:eastAsia="Times New Roman" w:hAnsi="Times New Roman" w:cs="Times New Roman"/>
        </w:rPr>
        <w:t>S-90</w:t>
      </w:r>
      <w:r>
        <w:rPr>
          <w:rFonts w:ascii="Times New Roman" w:eastAsia="Times New Roman" w:hAnsi="Times New Roman" w:cs="Times New Roman"/>
          <w:vertAlign w:val="superscript"/>
        </w:rPr>
        <w:t xml:space="preserve"> o</w:t>
      </w:r>
      <w:r>
        <w:rPr>
          <w:rFonts w:ascii="Times New Roman" w:eastAsia="Times New Roman" w:hAnsi="Times New Roman" w:cs="Times New Roman"/>
        </w:rPr>
        <w:t>S; d)</w:t>
      </w:r>
      <w:r>
        <w:rPr>
          <w:rFonts w:ascii="Times New Roman" w:eastAsia="Times New Roman" w:hAnsi="Times New Roman" w:cs="Times New Roman"/>
          <w:color w:val="000000"/>
        </w:rPr>
        <w:t>.</w:t>
      </w:r>
    </w:p>
    <w:p w14:paraId="065B30F6" w14:textId="77777777" w:rsidR="00893047" w:rsidRDefault="00893047" w:rsidP="00893047">
      <w:pPr>
        <w:spacing w:before="120" w:line="360" w:lineRule="auto"/>
        <w:jc w:val="both"/>
        <w:rPr>
          <w:rFonts w:ascii="Times New Roman" w:eastAsia="Times New Roman" w:hAnsi="Times New Roman" w:cs="Times New Roman"/>
          <w:b/>
          <w:color w:val="000000"/>
        </w:rPr>
      </w:pPr>
      <w:r w:rsidRPr="00AD33B7">
        <w:rPr>
          <w:rFonts w:ascii="Times New Roman" w:eastAsia="Times New Roman" w:hAnsi="Times New Roman" w:cs="Times New Roman"/>
          <w:noProof/>
          <w:color w:val="000000"/>
        </w:rPr>
        <w:lastRenderedPageBreak/>
        <mc:AlternateContent>
          <mc:Choice Requires="wps">
            <w:drawing>
              <wp:anchor distT="0" distB="0" distL="114300" distR="114300" simplePos="0" relativeHeight="251720704" behindDoc="0" locked="0" layoutInCell="1" allowOverlap="1" wp14:anchorId="73720D81" wp14:editId="797CFA48">
                <wp:simplePos x="0" y="0"/>
                <wp:positionH relativeFrom="column">
                  <wp:posOffset>3062605</wp:posOffset>
                </wp:positionH>
                <wp:positionV relativeFrom="paragraph">
                  <wp:posOffset>2862580</wp:posOffset>
                </wp:positionV>
                <wp:extent cx="834390" cy="252095"/>
                <wp:effectExtent l="0" t="0" r="0" b="0"/>
                <wp:wrapSquare wrapText="bothSides"/>
                <wp:docPr id="32" name="TextBox 2"/>
                <wp:cNvGraphicFramePr/>
                <a:graphic xmlns:a="http://schemas.openxmlformats.org/drawingml/2006/main">
                  <a:graphicData uri="http://schemas.microsoft.com/office/word/2010/wordprocessingShape">
                    <wps:wsp>
                      <wps:cNvSpPr txBox="1"/>
                      <wps:spPr>
                        <a:xfrm>
                          <a:off x="0" y="0"/>
                          <a:ext cx="834390" cy="252095"/>
                        </a:xfrm>
                        <a:prstGeom prst="rect">
                          <a:avLst/>
                        </a:prstGeom>
                        <a:noFill/>
                      </wps:spPr>
                      <wps:txbx>
                        <w:txbxContent>
                          <w:p w14:paraId="1D1730BC" w14:textId="77777777" w:rsidR="00897973" w:rsidRPr="00D4278C" w:rsidRDefault="00897973" w:rsidP="00893047">
                            <w:pPr>
                              <w:pStyle w:val="NormalWeb"/>
                              <w:spacing w:before="0" w:beforeAutospacing="0" w:after="0" w:afterAutospacing="0"/>
                              <w:rPr>
                                <w:sz w:val="22"/>
                                <w:szCs w:val="22"/>
                              </w:rPr>
                            </w:pPr>
                            <w:r w:rsidRPr="00D4278C">
                              <w:rPr>
                                <w:rFonts w:ascii="Arial" w:eastAsia="Arial" w:hAnsi="Arial" w:cs="Arial"/>
                                <w:color w:val="000000" w:themeColor="text1"/>
                                <w:kern w:val="24"/>
                                <w:sz w:val="22"/>
                                <w:szCs w:val="22"/>
                              </w:rPr>
                              <w:t>SH</w:t>
                            </w:r>
                          </w:p>
                        </w:txbxContent>
                      </wps:txbx>
                      <wps:bodyPr wrap="square" rtlCol="0">
                        <a:spAutoFit/>
                      </wps:bodyPr>
                    </wps:wsp>
                  </a:graphicData>
                </a:graphic>
              </wp:anchor>
            </w:drawing>
          </mc:Choice>
          <mc:Fallback>
            <w:pict>
              <v:shape w14:anchorId="73720D81" id="_x0000_s1033" type="#_x0000_t202" style="position:absolute;left:0;text-align:left;margin-left:241.15pt;margin-top:225.4pt;width:65.7pt;height:19.85pt;z-index:25172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" filled="f" stroked="f">
                <v:textbox style="mso-fit-shape-to-text:t">
                  <w:txbxContent>
                    <w:p w14:paraId="1D1730BC" w14:textId="77777777" w:rsidR="00897973" w:rsidRPr="00D4278C" w:rsidRDefault="00897973" w:rsidP="00893047">
                      <w:pPr>
                        <w:pStyle w:val="NormalWeb"/>
                        <w:spacing w:before="0" w:beforeAutospacing="0" w:after="0" w:afterAutospacing="0"/>
                        <w:rPr>
                          <w:sz w:val="22"/>
                          <w:szCs w:val="22"/>
                        </w:rPr>
                      </w:pPr>
                      <w:r w:rsidRPr="00D4278C">
                        <w:rPr>
                          <w:rFonts w:ascii="Arial" w:eastAsia="Arial" w:hAnsi="Arial" w:cs="Arial"/>
                          <w:color w:val="000000" w:themeColor="text1"/>
                          <w:kern w:val="24"/>
                          <w:sz w:val="22"/>
                          <w:szCs w:val="22"/>
                        </w:rPr>
                        <w:t>SH</w:t>
                      </w:r>
                    </w:p>
                  </w:txbxContent>
                </v:textbox>
                <w10:wrap type="square"/>
              </v:shape>
            </w:pict>
          </mc:Fallback>
        </mc:AlternateContent>
      </w:r>
      <w:r w:rsidRPr="00AD33B7">
        <w:rPr>
          <w:rFonts w:ascii="Times New Roman" w:eastAsia="Times New Roman" w:hAnsi="Times New Roman" w:cs="Times New Roman"/>
          <w:noProof/>
          <w:color w:val="000000"/>
        </w:rPr>
        <mc:AlternateContent>
          <mc:Choice Requires="wps">
            <w:drawing>
              <wp:anchor distT="0" distB="0" distL="114300" distR="114300" simplePos="0" relativeHeight="251719680" behindDoc="0" locked="0" layoutInCell="1" allowOverlap="1" wp14:anchorId="4A9A9610" wp14:editId="277BD209">
                <wp:simplePos x="0" y="0"/>
                <wp:positionH relativeFrom="column">
                  <wp:posOffset>3055620</wp:posOffset>
                </wp:positionH>
                <wp:positionV relativeFrom="paragraph">
                  <wp:posOffset>2068830</wp:posOffset>
                </wp:positionV>
                <wp:extent cx="834390" cy="252095"/>
                <wp:effectExtent l="0" t="0" r="0" b="0"/>
                <wp:wrapSquare wrapText="bothSides"/>
                <wp:docPr id="31" name="TextBox 1"/>
                <wp:cNvGraphicFramePr/>
                <a:graphic xmlns:a="http://schemas.openxmlformats.org/drawingml/2006/main">
                  <a:graphicData uri="http://schemas.microsoft.com/office/word/2010/wordprocessingShape">
                    <wps:wsp>
                      <wps:cNvSpPr txBox="1"/>
                      <wps:spPr>
                        <a:xfrm>
                          <a:off x="0" y="0"/>
                          <a:ext cx="834390" cy="252095"/>
                        </a:xfrm>
                        <a:prstGeom prst="rect">
                          <a:avLst/>
                        </a:prstGeom>
                        <a:noFill/>
                      </wps:spPr>
                      <wps:txbx>
                        <w:txbxContent>
                          <w:p w14:paraId="1DB558C4" w14:textId="77777777" w:rsidR="00897973" w:rsidRPr="00AD33B7" w:rsidRDefault="00897973" w:rsidP="00893047">
                            <w:pPr>
                              <w:pStyle w:val="NormalWeb"/>
                              <w:spacing w:before="0" w:beforeAutospacing="0" w:after="0" w:afterAutospacing="0"/>
                              <w:rPr>
                                <w:sz w:val="22"/>
                                <w:szCs w:val="22"/>
                              </w:rPr>
                            </w:pPr>
                            <w:r w:rsidRPr="00AD33B7">
                              <w:rPr>
                                <w:rFonts w:ascii="Arial" w:eastAsia="Arial" w:hAnsi="Arial" w:cs="Arial"/>
                                <w:color w:val="000000" w:themeColor="text1"/>
                                <w:kern w:val="24"/>
                                <w:sz w:val="22"/>
                                <w:szCs w:val="22"/>
                              </w:rPr>
                              <w:t>ST</w:t>
                            </w:r>
                          </w:p>
                        </w:txbxContent>
                      </wps:txbx>
                      <wps:bodyPr wrap="square" rtlCol="0">
                        <a:spAutoFit/>
                      </wps:bodyPr>
                    </wps:wsp>
                  </a:graphicData>
                </a:graphic>
              </wp:anchor>
            </w:drawing>
          </mc:Choice>
          <mc:Fallback>
            <w:pict>
              <v:shape w14:anchorId="4A9A9610" id="_x0000_s1034" type="#_x0000_t202" style="position:absolute;left:0;text-align:left;margin-left:240.6pt;margin-top:162.9pt;width:65.7pt;height:19.85pt;z-index:251719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" filled="f" stroked="f">
                <v:textbox style="mso-fit-shape-to-text:t">
                  <w:txbxContent>
                    <w:p w14:paraId="1DB558C4" w14:textId="77777777" w:rsidR="00897973" w:rsidRPr="00AD33B7" w:rsidRDefault="00897973" w:rsidP="00893047">
                      <w:pPr>
                        <w:pStyle w:val="NormalWeb"/>
                        <w:spacing w:before="0" w:beforeAutospacing="0" w:after="0" w:afterAutospacing="0"/>
                        <w:rPr>
                          <w:sz w:val="22"/>
                          <w:szCs w:val="22"/>
                        </w:rPr>
                      </w:pPr>
                      <w:r w:rsidRPr="00AD33B7">
                        <w:rPr>
                          <w:rFonts w:ascii="Arial" w:eastAsia="Arial" w:hAnsi="Arial" w:cs="Arial"/>
                          <w:color w:val="000000" w:themeColor="text1"/>
                          <w:kern w:val="24"/>
                          <w:sz w:val="22"/>
                          <w:szCs w:val="22"/>
                        </w:rPr>
                        <w:t>ST</w:t>
                      </w:r>
                    </w:p>
                  </w:txbxContent>
                </v:textbox>
                <w10:wrap type="square"/>
              </v:shape>
            </w:pict>
          </mc:Fallback>
        </mc:AlternateContent>
      </w:r>
      <w:r w:rsidRPr="002F259A">
        <w:rPr>
          <w:rFonts w:ascii="Times New Roman" w:eastAsia="Times New Roman" w:hAnsi="Times New Roman" w:cs="Times New Roman"/>
          <w:noProof/>
          <w:color w:val="000000"/>
        </w:rPr>
        <mc:AlternateContent>
          <mc:Choice Requires="wps">
            <w:drawing>
              <wp:anchor distT="0" distB="0" distL="114300" distR="114300" simplePos="0" relativeHeight="251718656" behindDoc="0" locked="0" layoutInCell="1" allowOverlap="1" wp14:anchorId="54355E2A" wp14:editId="1E6A4242">
                <wp:simplePos x="0" y="0"/>
                <wp:positionH relativeFrom="column">
                  <wp:posOffset>3024505</wp:posOffset>
                </wp:positionH>
                <wp:positionV relativeFrom="paragraph">
                  <wp:posOffset>1240155</wp:posOffset>
                </wp:positionV>
                <wp:extent cx="834390" cy="252095"/>
                <wp:effectExtent l="0" t="0" r="0" b="0"/>
                <wp:wrapSquare wrapText="bothSides"/>
                <wp:docPr id="30" name="TextBox 2"/>
                <wp:cNvGraphicFramePr/>
                <a:graphic xmlns:a="http://schemas.openxmlformats.org/drawingml/2006/main">
                  <a:graphicData uri="http://schemas.microsoft.com/office/word/2010/wordprocessingShape">
                    <wps:wsp>
                      <wps:cNvSpPr txBox="1"/>
                      <wps:spPr>
                        <a:xfrm>
                          <a:off x="0" y="0"/>
                          <a:ext cx="834390" cy="252095"/>
                        </a:xfrm>
                        <a:prstGeom prst="rect">
                          <a:avLst/>
                        </a:prstGeom>
                        <a:noFill/>
                      </wps:spPr>
                      <wps:txbx>
                        <w:txbxContent>
                          <w:p w14:paraId="511B2115" w14:textId="77777777" w:rsidR="00897973" w:rsidRPr="002F259A" w:rsidRDefault="00897973" w:rsidP="00893047">
                            <w:pPr>
                              <w:pStyle w:val="NormalWeb"/>
                              <w:spacing w:before="0" w:beforeAutospacing="0" w:after="0" w:afterAutospacing="0"/>
                              <w:rPr>
                                <w:sz w:val="22"/>
                                <w:szCs w:val="22"/>
                              </w:rPr>
                            </w:pPr>
                            <w:r w:rsidRPr="002F259A">
                              <w:rPr>
                                <w:rFonts w:ascii="Arial" w:eastAsia="Arial" w:hAnsi="Arial" w:cs="Arial"/>
                                <w:color w:val="000000" w:themeColor="text1"/>
                                <w:kern w:val="24"/>
                                <w:sz w:val="22"/>
                                <w:szCs w:val="22"/>
                              </w:rPr>
                              <w:t xml:space="preserve"> NT</w:t>
                            </w:r>
                          </w:p>
                        </w:txbxContent>
                      </wps:txbx>
                      <wps:bodyPr wrap="square" rtlCol="0">
                        <a:spAutoFit/>
                      </wps:bodyPr>
                    </wps:wsp>
                  </a:graphicData>
                </a:graphic>
              </wp:anchor>
            </w:drawing>
          </mc:Choice>
          <mc:Fallback>
            <w:pict>
              <v:shape w14:anchorId="54355E2A" id="_x0000_s1035" type="#_x0000_t202" style="position:absolute;left:0;text-align:left;margin-left:238.15pt;margin-top:97.65pt;width:65.7pt;height:19.85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" filled="f" stroked="f">
                <v:textbox style="mso-fit-shape-to-text:t">
                  <w:txbxContent>
                    <w:p w14:paraId="511B2115" w14:textId="77777777" w:rsidR="00897973" w:rsidRPr="002F259A" w:rsidRDefault="00897973" w:rsidP="00893047">
                      <w:pPr>
                        <w:pStyle w:val="NormalWeb"/>
                        <w:spacing w:before="0" w:beforeAutospacing="0" w:after="0" w:afterAutospacing="0"/>
                        <w:rPr>
                          <w:sz w:val="22"/>
                          <w:szCs w:val="22"/>
                        </w:rPr>
                      </w:pPr>
                      <w:r w:rsidRPr="002F259A">
                        <w:rPr>
                          <w:rFonts w:ascii="Arial" w:eastAsia="Arial" w:hAnsi="Arial" w:cs="Arial"/>
                          <w:color w:val="000000" w:themeColor="text1"/>
                          <w:kern w:val="24"/>
                          <w:sz w:val="22"/>
                          <w:szCs w:val="22"/>
                        </w:rPr>
                        <w:t xml:space="preserve"> NT</w:t>
                      </w:r>
                    </w:p>
                  </w:txbxContent>
                </v:textbox>
                <w10:wrap type="square"/>
              </v:shape>
            </w:pict>
          </mc:Fallback>
        </mc:AlternateContent>
      </w:r>
      <w:r w:rsidRPr="002F259A">
        <w:rPr>
          <w:rFonts w:ascii="Times New Roman" w:eastAsia="Times New Roman" w:hAnsi="Times New Roman" w:cs="Times New Roman"/>
          <w:noProof/>
          <w:color w:val="000000"/>
        </w:rPr>
        <mc:AlternateContent>
          <mc:Choice Requires="wps">
            <w:drawing>
              <wp:anchor distT="0" distB="0" distL="114300" distR="114300" simplePos="0" relativeHeight="251717632" behindDoc="0" locked="0" layoutInCell="1" allowOverlap="1" wp14:anchorId="6D7C9F03" wp14:editId="60ED2967">
                <wp:simplePos x="0" y="0"/>
                <wp:positionH relativeFrom="column">
                  <wp:posOffset>3061335</wp:posOffset>
                </wp:positionH>
                <wp:positionV relativeFrom="paragraph">
                  <wp:posOffset>462954</wp:posOffset>
                </wp:positionV>
                <wp:extent cx="834390" cy="252095"/>
                <wp:effectExtent l="0" t="0" r="0" b="0"/>
                <wp:wrapSquare wrapText="bothSides"/>
                <wp:docPr id="29" name="TextBox 1"/>
                <wp:cNvGraphicFramePr/>
                <a:graphic xmlns:a="http://schemas.openxmlformats.org/drawingml/2006/main">
                  <a:graphicData uri="http://schemas.microsoft.com/office/word/2010/wordprocessingShape">
                    <wps:wsp>
                      <wps:cNvSpPr txBox="1"/>
                      <wps:spPr>
                        <a:xfrm>
                          <a:off x="0" y="0"/>
                          <a:ext cx="834390" cy="252095"/>
                        </a:xfrm>
                        <a:prstGeom prst="rect">
                          <a:avLst/>
                        </a:prstGeom>
                        <a:noFill/>
                      </wps:spPr>
                      <wps:txbx>
                        <w:txbxContent>
                          <w:p w14:paraId="18D10038" w14:textId="77777777" w:rsidR="00897973" w:rsidRPr="002F259A" w:rsidRDefault="00897973" w:rsidP="00893047">
                            <w:pPr>
                              <w:pStyle w:val="NormalWeb"/>
                              <w:spacing w:before="0" w:beforeAutospacing="0" w:after="0" w:afterAutospacing="0"/>
                              <w:rPr>
                                <w:sz w:val="22"/>
                                <w:szCs w:val="22"/>
                              </w:rPr>
                            </w:pPr>
                            <w:r w:rsidRPr="002F259A">
                              <w:rPr>
                                <w:rFonts w:ascii="Arial" w:eastAsia="Arial" w:hAnsi="Arial" w:cs="Arial"/>
                                <w:color w:val="000000" w:themeColor="text1"/>
                                <w:kern w:val="24"/>
                                <w:sz w:val="22"/>
                                <w:szCs w:val="22"/>
                              </w:rPr>
                              <w:t>NH</w:t>
                            </w:r>
                          </w:p>
                        </w:txbxContent>
                      </wps:txbx>
                      <wps:bodyPr wrap="square" rtlCol="0">
                        <a:spAutoFit/>
                      </wps:bodyPr>
                    </wps:wsp>
                  </a:graphicData>
                </a:graphic>
              </wp:anchor>
            </w:drawing>
          </mc:Choice>
          <mc:Fallback>
            <w:pict>
              <v:shape w14:anchorId="6D7C9F03" id="_x0000_s1036" type="#_x0000_t202" style="position:absolute;left:0;text-align:left;margin-left:241.05pt;margin-top:36.45pt;width:65.7pt;height:19.85pt;z-index:251717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" filled="f" stroked="f">
                <v:textbox style="mso-fit-shape-to-text:t">
                  <w:txbxContent>
                    <w:p w14:paraId="18D10038" w14:textId="77777777" w:rsidR="00897973" w:rsidRPr="002F259A" w:rsidRDefault="00897973" w:rsidP="00893047">
                      <w:pPr>
                        <w:pStyle w:val="NormalWeb"/>
                        <w:spacing w:before="0" w:beforeAutospacing="0" w:after="0" w:afterAutospacing="0"/>
                        <w:rPr>
                          <w:sz w:val="22"/>
                          <w:szCs w:val="22"/>
                        </w:rPr>
                      </w:pPr>
                      <w:r w:rsidRPr="002F259A">
                        <w:rPr>
                          <w:rFonts w:ascii="Arial" w:eastAsia="Arial" w:hAnsi="Arial" w:cs="Arial"/>
                          <w:color w:val="000000" w:themeColor="text1"/>
                          <w:kern w:val="24"/>
                          <w:sz w:val="22"/>
                          <w:szCs w:val="22"/>
                        </w:rPr>
                        <w:t>NH</w:t>
                      </w:r>
                    </w:p>
                  </w:txbxContent>
                </v:textbox>
                <w10:wrap type="square"/>
              </v:shape>
            </w:pict>
          </mc:Fallback>
        </mc:AlternateContent>
      </w:r>
      <w:r w:rsidRPr="00AD33B7">
        <w:rPr>
          <w:rFonts w:ascii="Times New Roman" w:eastAsia="Times New Roman" w:hAnsi="Times New Roman" w:cs="Times New Roman"/>
          <w:noProof/>
          <w:color w:val="000000"/>
        </w:rPr>
        <mc:AlternateContent>
          <mc:Choice Requires="wps">
            <w:drawing>
              <wp:anchor distT="0" distB="0" distL="114300" distR="114300" simplePos="0" relativeHeight="251716608" behindDoc="0" locked="0" layoutInCell="1" allowOverlap="1" wp14:anchorId="055A433E" wp14:editId="72D2476F">
                <wp:simplePos x="0" y="0"/>
                <wp:positionH relativeFrom="column">
                  <wp:posOffset>283210</wp:posOffset>
                </wp:positionH>
                <wp:positionV relativeFrom="paragraph">
                  <wp:posOffset>2969895</wp:posOffset>
                </wp:positionV>
                <wp:extent cx="834390" cy="252095"/>
                <wp:effectExtent l="0" t="0" r="0" b="0"/>
                <wp:wrapSquare wrapText="bothSides"/>
                <wp:docPr id="28" name="TextBox 2"/>
                <wp:cNvGraphicFramePr/>
                <a:graphic xmlns:a="http://schemas.openxmlformats.org/drawingml/2006/main">
                  <a:graphicData uri="http://schemas.microsoft.com/office/word/2010/wordprocessingShape">
                    <wps:wsp>
                      <wps:cNvSpPr txBox="1"/>
                      <wps:spPr>
                        <a:xfrm>
                          <a:off x="0" y="0"/>
                          <a:ext cx="834390" cy="252095"/>
                        </a:xfrm>
                        <a:prstGeom prst="rect">
                          <a:avLst/>
                        </a:prstGeom>
                        <a:noFill/>
                      </wps:spPr>
                      <wps:txbx>
                        <w:txbxContent>
                          <w:p w14:paraId="250212CD" w14:textId="77777777" w:rsidR="00897973" w:rsidRPr="00D4278C" w:rsidRDefault="00897973" w:rsidP="00893047">
                            <w:pPr>
                              <w:pStyle w:val="NormalWeb"/>
                              <w:spacing w:before="0" w:beforeAutospacing="0" w:after="0" w:afterAutospacing="0"/>
                              <w:rPr>
                                <w:sz w:val="22"/>
                                <w:szCs w:val="22"/>
                              </w:rPr>
                            </w:pPr>
                            <w:r w:rsidRPr="00D4278C">
                              <w:rPr>
                                <w:rFonts w:ascii="Arial" w:eastAsia="Arial" w:hAnsi="Arial" w:cs="Arial"/>
                                <w:color w:val="000000" w:themeColor="text1"/>
                                <w:kern w:val="24"/>
                                <w:sz w:val="22"/>
                                <w:szCs w:val="22"/>
                              </w:rPr>
                              <w:t>SH</w:t>
                            </w:r>
                          </w:p>
                        </w:txbxContent>
                      </wps:txbx>
                      <wps:bodyPr wrap="square" rtlCol="0">
                        <a:spAutoFit/>
                      </wps:bodyPr>
                    </wps:wsp>
                  </a:graphicData>
                </a:graphic>
              </wp:anchor>
            </w:drawing>
          </mc:Choice>
          <mc:Fallback>
            <w:pict>
              <v:shape w14:anchorId="055A433E" id="_x0000_s1037" type="#_x0000_t202" style="position:absolute;left:0;text-align:left;margin-left:22.3pt;margin-top:233.85pt;width:65.7pt;height:19.85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" filled="f" stroked="f">
                <v:textbox style="mso-fit-shape-to-text:t">
                  <w:txbxContent>
                    <w:p w14:paraId="250212CD" w14:textId="77777777" w:rsidR="00897973" w:rsidRPr="00D4278C" w:rsidRDefault="00897973" w:rsidP="00893047">
                      <w:pPr>
                        <w:pStyle w:val="NormalWeb"/>
                        <w:spacing w:before="0" w:beforeAutospacing="0" w:after="0" w:afterAutospacing="0"/>
                        <w:rPr>
                          <w:sz w:val="22"/>
                          <w:szCs w:val="22"/>
                        </w:rPr>
                      </w:pPr>
                      <w:r w:rsidRPr="00D4278C">
                        <w:rPr>
                          <w:rFonts w:ascii="Arial" w:eastAsia="Arial" w:hAnsi="Arial" w:cs="Arial"/>
                          <w:color w:val="000000" w:themeColor="text1"/>
                          <w:kern w:val="24"/>
                          <w:sz w:val="22"/>
                          <w:szCs w:val="22"/>
                        </w:rPr>
                        <w:t>SH</w:t>
                      </w:r>
                    </w:p>
                  </w:txbxContent>
                </v:textbox>
                <w10:wrap type="square"/>
              </v:shape>
            </w:pict>
          </mc:Fallback>
        </mc:AlternateContent>
      </w:r>
      <w:r w:rsidRPr="00AD33B7">
        <w:rPr>
          <w:rFonts w:ascii="Times New Roman" w:eastAsia="Times New Roman" w:hAnsi="Times New Roman" w:cs="Times New Roman"/>
          <w:noProof/>
          <w:color w:val="000000"/>
        </w:rPr>
        <mc:AlternateContent>
          <mc:Choice Requires="wps">
            <w:drawing>
              <wp:anchor distT="0" distB="0" distL="114300" distR="114300" simplePos="0" relativeHeight="251715584" behindDoc="0" locked="0" layoutInCell="1" allowOverlap="1" wp14:anchorId="080B6A15" wp14:editId="38F16BBD">
                <wp:simplePos x="0" y="0"/>
                <wp:positionH relativeFrom="column">
                  <wp:posOffset>276225</wp:posOffset>
                </wp:positionH>
                <wp:positionV relativeFrom="paragraph">
                  <wp:posOffset>2176145</wp:posOffset>
                </wp:positionV>
                <wp:extent cx="834390" cy="252095"/>
                <wp:effectExtent l="0" t="0" r="0" b="0"/>
                <wp:wrapSquare wrapText="bothSides"/>
                <wp:docPr id="27" name="TextBox 1"/>
                <wp:cNvGraphicFramePr/>
                <a:graphic xmlns:a="http://schemas.openxmlformats.org/drawingml/2006/main">
                  <a:graphicData uri="http://schemas.microsoft.com/office/word/2010/wordprocessingShape">
                    <wps:wsp>
                      <wps:cNvSpPr txBox="1"/>
                      <wps:spPr>
                        <a:xfrm>
                          <a:off x="0" y="0"/>
                          <a:ext cx="834390" cy="252095"/>
                        </a:xfrm>
                        <a:prstGeom prst="rect">
                          <a:avLst/>
                        </a:prstGeom>
                        <a:noFill/>
                      </wps:spPr>
                      <wps:txbx>
                        <w:txbxContent>
                          <w:p w14:paraId="5B980DA0" w14:textId="77777777" w:rsidR="00897973" w:rsidRPr="00AD33B7" w:rsidRDefault="00897973" w:rsidP="00893047">
                            <w:pPr>
                              <w:pStyle w:val="NormalWeb"/>
                              <w:spacing w:before="0" w:beforeAutospacing="0" w:after="0" w:afterAutospacing="0"/>
                              <w:rPr>
                                <w:sz w:val="22"/>
                                <w:szCs w:val="22"/>
                              </w:rPr>
                            </w:pPr>
                            <w:r w:rsidRPr="00AD33B7">
                              <w:rPr>
                                <w:rFonts w:ascii="Arial" w:eastAsia="Arial" w:hAnsi="Arial" w:cs="Arial"/>
                                <w:color w:val="000000" w:themeColor="text1"/>
                                <w:kern w:val="24"/>
                                <w:sz w:val="22"/>
                                <w:szCs w:val="22"/>
                              </w:rPr>
                              <w:t>ST</w:t>
                            </w:r>
                          </w:p>
                        </w:txbxContent>
                      </wps:txbx>
                      <wps:bodyPr wrap="square" rtlCol="0">
                        <a:spAutoFit/>
                      </wps:bodyPr>
                    </wps:wsp>
                  </a:graphicData>
                </a:graphic>
              </wp:anchor>
            </w:drawing>
          </mc:Choice>
          <mc:Fallback>
            <w:pict>
              <v:shape w14:anchorId="080B6A15" id="_x0000_s1038" type="#_x0000_t202" style="position:absolute;left:0;text-align:left;margin-left:21.75pt;margin-top:171.35pt;width:65.7pt;height:19.85pt;z-index:251715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" filled="f" stroked="f">
                <v:textbox style="mso-fit-shape-to-text:t">
                  <w:txbxContent>
                    <w:p w14:paraId="5B980DA0" w14:textId="77777777" w:rsidR="00897973" w:rsidRPr="00AD33B7" w:rsidRDefault="00897973" w:rsidP="00893047">
                      <w:pPr>
                        <w:pStyle w:val="NormalWeb"/>
                        <w:spacing w:before="0" w:beforeAutospacing="0" w:after="0" w:afterAutospacing="0"/>
                        <w:rPr>
                          <w:sz w:val="22"/>
                          <w:szCs w:val="22"/>
                        </w:rPr>
                      </w:pPr>
                      <w:r w:rsidRPr="00AD33B7">
                        <w:rPr>
                          <w:rFonts w:ascii="Arial" w:eastAsia="Arial" w:hAnsi="Arial" w:cs="Arial"/>
                          <w:color w:val="000000" w:themeColor="text1"/>
                          <w:kern w:val="24"/>
                          <w:sz w:val="22"/>
                          <w:szCs w:val="22"/>
                        </w:rPr>
                        <w:t>ST</w:t>
                      </w:r>
                    </w:p>
                  </w:txbxContent>
                </v:textbox>
                <w10:wrap type="square"/>
              </v:shape>
            </w:pict>
          </mc:Fallback>
        </mc:AlternateContent>
      </w:r>
      <w:r w:rsidRPr="002F259A">
        <w:rPr>
          <w:rFonts w:ascii="Times New Roman" w:eastAsia="Times New Roman" w:hAnsi="Times New Roman" w:cs="Times New Roman"/>
          <w:noProof/>
          <w:color w:val="000000"/>
        </w:rPr>
        <mc:AlternateContent>
          <mc:Choice Requires="wps">
            <w:drawing>
              <wp:anchor distT="0" distB="0" distL="114300" distR="114300" simplePos="0" relativeHeight="251714560" behindDoc="0" locked="0" layoutInCell="1" allowOverlap="1" wp14:anchorId="20BF0FC6" wp14:editId="5CCCD7CD">
                <wp:simplePos x="0" y="0"/>
                <wp:positionH relativeFrom="column">
                  <wp:posOffset>245434</wp:posOffset>
                </wp:positionH>
                <wp:positionV relativeFrom="paragraph">
                  <wp:posOffset>1347470</wp:posOffset>
                </wp:positionV>
                <wp:extent cx="834390" cy="252095"/>
                <wp:effectExtent l="0" t="0" r="0" b="0"/>
                <wp:wrapSquare wrapText="bothSides"/>
                <wp:docPr id="26" name="TextBox 2"/>
                <wp:cNvGraphicFramePr/>
                <a:graphic xmlns:a="http://schemas.openxmlformats.org/drawingml/2006/main">
                  <a:graphicData uri="http://schemas.microsoft.com/office/word/2010/wordprocessingShape">
                    <wps:wsp>
                      <wps:cNvSpPr txBox="1"/>
                      <wps:spPr>
                        <a:xfrm>
                          <a:off x="0" y="0"/>
                          <a:ext cx="834390" cy="252095"/>
                        </a:xfrm>
                        <a:prstGeom prst="rect">
                          <a:avLst/>
                        </a:prstGeom>
                        <a:noFill/>
                      </wps:spPr>
                      <wps:txbx>
                        <w:txbxContent>
                          <w:p w14:paraId="734F9414" w14:textId="77777777" w:rsidR="00897973" w:rsidRPr="002F259A" w:rsidRDefault="00897973" w:rsidP="00893047">
                            <w:pPr>
                              <w:pStyle w:val="NormalWeb"/>
                              <w:spacing w:before="0" w:beforeAutospacing="0" w:after="0" w:afterAutospacing="0"/>
                              <w:rPr>
                                <w:sz w:val="22"/>
                                <w:szCs w:val="22"/>
                              </w:rPr>
                            </w:pPr>
                            <w:r w:rsidRPr="002F259A">
                              <w:rPr>
                                <w:rFonts w:ascii="Arial" w:eastAsia="Arial" w:hAnsi="Arial" w:cs="Arial"/>
                                <w:color w:val="000000" w:themeColor="text1"/>
                                <w:kern w:val="24"/>
                                <w:sz w:val="22"/>
                                <w:szCs w:val="22"/>
                              </w:rPr>
                              <w:t xml:space="preserve"> NT</w:t>
                            </w:r>
                          </w:p>
                        </w:txbxContent>
                      </wps:txbx>
                      <wps:bodyPr wrap="square" rtlCol="0">
                        <a:spAutoFit/>
                      </wps:bodyPr>
                    </wps:wsp>
                  </a:graphicData>
                </a:graphic>
              </wp:anchor>
            </w:drawing>
          </mc:Choice>
          <mc:Fallback>
            <w:pict>
              <v:shape w14:anchorId="20BF0FC6" id="_x0000_s1039" type="#_x0000_t202" style="position:absolute;left:0;text-align:left;margin-left:19.35pt;margin-top:106.1pt;width:65.7pt;height:19.85pt;z-index:251714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" filled="f" stroked="f">
                <v:textbox style="mso-fit-shape-to-text:t">
                  <w:txbxContent>
                    <w:p w14:paraId="734F9414" w14:textId="77777777" w:rsidR="00897973" w:rsidRPr="002F259A" w:rsidRDefault="00897973" w:rsidP="00893047">
                      <w:pPr>
                        <w:pStyle w:val="NormalWeb"/>
                        <w:spacing w:before="0" w:beforeAutospacing="0" w:after="0" w:afterAutospacing="0"/>
                        <w:rPr>
                          <w:sz w:val="22"/>
                          <w:szCs w:val="22"/>
                        </w:rPr>
                      </w:pPr>
                      <w:r w:rsidRPr="002F259A">
                        <w:rPr>
                          <w:rFonts w:ascii="Arial" w:eastAsia="Arial" w:hAnsi="Arial" w:cs="Arial"/>
                          <w:color w:val="000000" w:themeColor="text1"/>
                          <w:kern w:val="24"/>
                          <w:sz w:val="22"/>
                          <w:szCs w:val="22"/>
                        </w:rPr>
                        <w:t xml:space="preserve"> NT</w:t>
                      </w:r>
                    </w:p>
                  </w:txbxContent>
                </v:textbox>
                <w10:wrap type="square"/>
              </v:shape>
            </w:pict>
          </mc:Fallback>
        </mc:AlternateContent>
      </w:r>
      <w:r w:rsidRPr="002F259A">
        <w:rPr>
          <w:rFonts w:ascii="Times New Roman" w:eastAsia="Times New Roman" w:hAnsi="Times New Roman" w:cs="Times New Roman"/>
          <w:noProof/>
          <w:color w:val="000000"/>
        </w:rPr>
        <mc:AlternateContent>
          <mc:Choice Requires="wps">
            <w:drawing>
              <wp:anchor distT="0" distB="0" distL="114300" distR="114300" simplePos="0" relativeHeight="251713536" behindDoc="0" locked="0" layoutInCell="1" allowOverlap="1" wp14:anchorId="397FA824" wp14:editId="716250A8">
                <wp:simplePos x="0" y="0"/>
                <wp:positionH relativeFrom="column">
                  <wp:posOffset>281940</wp:posOffset>
                </wp:positionH>
                <wp:positionV relativeFrom="paragraph">
                  <wp:posOffset>570230</wp:posOffset>
                </wp:positionV>
                <wp:extent cx="834390" cy="252095"/>
                <wp:effectExtent l="0" t="0" r="0" b="0"/>
                <wp:wrapSquare wrapText="bothSides"/>
                <wp:docPr id="25" name="TextBox 1"/>
                <wp:cNvGraphicFramePr/>
                <a:graphic xmlns:a="http://schemas.openxmlformats.org/drawingml/2006/main">
                  <a:graphicData uri="http://schemas.microsoft.com/office/word/2010/wordprocessingShape">
                    <wps:wsp>
                      <wps:cNvSpPr txBox="1"/>
                      <wps:spPr>
                        <a:xfrm>
                          <a:off x="0" y="0"/>
                          <a:ext cx="834390" cy="252095"/>
                        </a:xfrm>
                        <a:prstGeom prst="rect">
                          <a:avLst/>
                        </a:prstGeom>
                        <a:noFill/>
                      </wps:spPr>
                      <wps:txbx>
                        <w:txbxContent>
                          <w:p w14:paraId="4EF0C51E" w14:textId="77777777" w:rsidR="00897973" w:rsidRPr="002F259A" w:rsidRDefault="00897973" w:rsidP="00893047">
                            <w:pPr>
                              <w:pStyle w:val="NormalWeb"/>
                              <w:spacing w:before="0" w:beforeAutospacing="0" w:after="0" w:afterAutospacing="0"/>
                              <w:rPr>
                                <w:sz w:val="22"/>
                                <w:szCs w:val="22"/>
                              </w:rPr>
                            </w:pPr>
                            <w:r w:rsidRPr="002F259A">
                              <w:rPr>
                                <w:rFonts w:ascii="Arial" w:eastAsia="Arial" w:hAnsi="Arial" w:cs="Arial"/>
                                <w:color w:val="000000" w:themeColor="text1"/>
                                <w:kern w:val="24"/>
                                <w:sz w:val="22"/>
                                <w:szCs w:val="22"/>
                              </w:rPr>
                              <w:t>NH</w:t>
                            </w:r>
                          </w:p>
                        </w:txbxContent>
                      </wps:txbx>
                      <wps:bodyPr wrap="square" rtlCol="0">
                        <a:spAutoFit/>
                      </wps:bodyPr>
                    </wps:wsp>
                  </a:graphicData>
                </a:graphic>
              </wp:anchor>
            </w:drawing>
          </mc:Choice>
          <mc:Fallback>
            <w:pict>
              <v:shape w14:anchorId="397FA824" id="_x0000_s1040" type="#_x0000_t202" style="position:absolute;left:0;text-align:left;margin-left:22.2pt;margin-top:44.9pt;width:65.7pt;height:19.85pt;z-index:251713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" filled="f" stroked="f">
                <v:textbox style="mso-fit-shape-to-text:t">
                  <w:txbxContent>
                    <w:p w14:paraId="4EF0C51E" w14:textId="77777777" w:rsidR="00897973" w:rsidRPr="002F259A" w:rsidRDefault="00897973" w:rsidP="00893047">
                      <w:pPr>
                        <w:pStyle w:val="NormalWeb"/>
                        <w:spacing w:before="0" w:beforeAutospacing="0" w:after="0" w:afterAutospacing="0"/>
                        <w:rPr>
                          <w:sz w:val="22"/>
                          <w:szCs w:val="22"/>
                        </w:rPr>
                      </w:pPr>
                      <w:r w:rsidRPr="002F259A">
                        <w:rPr>
                          <w:rFonts w:ascii="Arial" w:eastAsia="Arial" w:hAnsi="Arial" w:cs="Arial"/>
                          <w:color w:val="000000" w:themeColor="text1"/>
                          <w:kern w:val="24"/>
                          <w:sz w:val="22"/>
                          <w:szCs w:val="22"/>
                        </w:rPr>
                        <w:t>NH</w:t>
                      </w:r>
                    </w:p>
                  </w:txbxContent>
                </v:textbox>
                <w10:wrap type="square"/>
              </v:shape>
            </w:pict>
          </mc:Fallback>
        </mc:AlternateContent>
      </w:r>
      <w:r w:rsidRPr="00A20890">
        <w:rPr>
          <w:rFonts w:ascii="Times New Roman" w:eastAsia="Times New Roman" w:hAnsi="Times New Roman" w:cs="Times New Roman"/>
          <w:b/>
          <w:noProof/>
          <w:color w:val="000000"/>
        </w:rPr>
        <mc:AlternateContent>
          <mc:Choice Requires="wps">
            <w:drawing>
              <wp:anchor distT="0" distB="0" distL="114300" distR="114300" simplePos="0" relativeHeight="251712512" behindDoc="0" locked="0" layoutInCell="1" allowOverlap="1" wp14:anchorId="63BD263B" wp14:editId="6A70802B">
                <wp:simplePos x="0" y="0"/>
                <wp:positionH relativeFrom="column">
                  <wp:posOffset>2177415</wp:posOffset>
                </wp:positionH>
                <wp:positionV relativeFrom="paragraph">
                  <wp:posOffset>1838325</wp:posOffset>
                </wp:positionV>
                <wp:extent cx="1073785" cy="330200"/>
                <wp:effectExtent l="0" t="0" r="0" b="0"/>
                <wp:wrapSquare wrapText="bothSides"/>
                <wp:docPr id="24" name="TextBox 1"/>
                <wp:cNvGraphicFramePr/>
                <a:graphic xmlns:a="http://schemas.openxmlformats.org/drawingml/2006/main">
                  <a:graphicData uri="http://schemas.microsoft.com/office/word/2010/wordprocessingShape">
                    <wps:wsp>
                      <wps:cNvSpPr txBox="1"/>
                      <wps:spPr>
                        <a:xfrm rot="16200000">
                          <a:off x="0" y="0"/>
                          <a:ext cx="1073785" cy="330200"/>
                        </a:xfrm>
                        <a:prstGeom prst="rect">
                          <a:avLst/>
                        </a:prstGeom>
                        <a:noFill/>
                      </wps:spPr>
                      <wps:txbx>
                        <w:txbxContent>
                          <w:p w14:paraId="05C6E180" w14:textId="77777777" w:rsidR="00897973" w:rsidRPr="00A20890" w:rsidRDefault="00897973" w:rsidP="00893047">
                            <w:pPr>
                              <w:pStyle w:val="NormalWeb"/>
                              <w:spacing w:before="0" w:beforeAutospacing="0" w:after="0" w:afterAutospacing="0"/>
                              <w:rPr>
                                <w:rFonts w:ascii="Arial" w:eastAsia="Arial" w:hAnsi="Arial" w:cs="Arial"/>
                                <w:color w:val="000000" w:themeColor="text1"/>
                                <w:kern w:val="24"/>
                              </w:rPr>
                            </w:pPr>
                            <w:r w:rsidRPr="00A20890">
                              <w:rPr>
                                <w:rFonts w:ascii="Arial" w:eastAsia="Arial" w:hAnsi="Arial" w:cs="Arial"/>
                                <w:color w:val="000000" w:themeColor="text1"/>
                                <w:kern w:val="24"/>
                              </w:rPr>
                              <w:t>g</w:t>
                            </w:r>
                            <w:r>
                              <w:rPr>
                                <w:rFonts w:ascii="Arial" w:eastAsia="Arial" w:hAnsi="Arial" w:cs="Arial"/>
                                <w:color w:val="000000" w:themeColor="text1"/>
                                <w:kern w:val="24"/>
                              </w:rPr>
                              <w:t>P</w:t>
                            </w:r>
                            <w:r w:rsidRPr="00A20890">
                              <w:rPr>
                                <w:rFonts w:ascii="Arial" w:eastAsia="Arial" w:hAnsi="Arial" w:cs="Arial"/>
                                <w:color w:val="000000" w:themeColor="text1"/>
                                <w:kern w:val="24"/>
                              </w:rPr>
                              <w:t xml:space="preserve"> kg DM</w:t>
                            </w:r>
                            <w:r w:rsidRPr="00A20890">
                              <w:rPr>
                                <w:rFonts w:ascii="Arial" w:eastAsia="Arial" w:hAnsi="Arial" w:cs="Arial"/>
                                <w:color w:val="000000" w:themeColor="text1"/>
                                <w:kern w:val="24"/>
                                <w:position w:val="10"/>
                                <w:vertAlign w:val="superscript"/>
                              </w:rPr>
                              <w:t>-1</w:t>
                            </w:r>
                          </w:p>
                        </w:txbxContent>
                      </wps:txbx>
                      <wps:bodyPr wrap="square" rtlCol="0">
                        <a:spAutoFit/>
                      </wps:bodyPr>
                    </wps:wsp>
                  </a:graphicData>
                </a:graphic>
                <wp14:sizeRelH relativeFrom="margin">
                  <wp14:pctWidth>0</wp14:pctWidth>
                </wp14:sizeRelH>
              </wp:anchor>
            </w:drawing>
          </mc:Choice>
          <mc:Fallback>
            <w:pict>
              <v:shape w14:anchorId="63BD263B" id="_x0000_s1041" type="#_x0000_t202" style="position:absolute;left:0;text-align:left;margin-left:171.45pt;margin-top:144.75pt;width:84.55pt;height:26pt;rotation:-90;z-index:25171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" filled="f" stroked="f">
                <v:textbox style="mso-fit-shape-to-text:t">
                  <w:txbxContent>
                    <w:p w14:paraId="05C6E180" w14:textId="77777777" w:rsidR="00897973" w:rsidRPr="00A20890" w:rsidRDefault="00897973" w:rsidP="00893047">
                      <w:pPr>
                        <w:pStyle w:val="NormalWeb"/>
                        <w:spacing w:before="0" w:beforeAutospacing="0" w:after="0" w:afterAutospacing="0"/>
                        <w:rPr>
                          <w:rFonts w:ascii="Arial" w:eastAsia="Arial" w:hAnsi="Arial" w:cs="Arial"/>
                          <w:color w:val="000000" w:themeColor="text1"/>
                          <w:kern w:val="24"/>
                        </w:rPr>
                      </w:pPr>
                      <w:r w:rsidRPr="00A20890">
                        <w:rPr>
                          <w:rFonts w:ascii="Arial" w:eastAsia="Arial" w:hAnsi="Arial" w:cs="Arial"/>
                          <w:color w:val="000000" w:themeColor="text1"/>
                          <w:kern w:val="24"/>
                        </w:rPr>
                        <w:t>g</w:t>
                      </w:r>
                      <w:r>
                        <w:rPr>
                          <w:rFonts w:ascii="Arial" w:eastAsia="Arial" w:hAnsi="Arial" w:cs="Arial"/>
                          <w:color w:val="000000" w:themeColor="text1"/>
                          <w:kern w:val="24"/>
                        </w:rPr>
                        <w:t>P</w:t>
                      </w:r>
                      <w:r w:rsidRPr="00A20890">
                        <w:rPr>
                          <w:rFonts w:ascii="Arial" w:eastAsia="Arial" w:hAnsi="Arial" w:cs="Arial"/>
                          <w:color w:val="000000" w:themeColor="text1"/>
                          <w:kern w:val="24"/>
                        </w:rPr>
                        <w:t xml:space="preserve"> kg DM</w:t>
                      </w:r>
                      <w:r w:rsidRPr="00A20890">
                        <w:rPr>
                          <w:rFonts w:ascii="Arial" w:eastAsia="Arial" w:hAnsi="Arial" w:cs="Arial"/>
                          <w:color w:val="000000" w:themeColor="text1"/>
                          <w:kern w:val="24"/>
                          <w:position w:val="10"/>
                          <w:vertAlign w:val="superscript"/>
                        </w:rPr>
                        <w:t>-1</w:t>
                      </w:r>
                    </w:p>
                  </w:txbxContent>
                </v:textbox>
                <w10:wrap type="square"/>
              </v:shape>
            </w:pict>
          </mc:Fallback>
        </mc:AlternateContent>
      </w:r>
      <w:r w:rsidRPr="00A20890">
        <w:rPr>
          <w:rFonts w:ascii="Times New Roman" w:eastAsia="Times New Roman" w:hAnsi="Times New Roman" w:cs="Times New Roman"/>
          <w:b/>
          <w:noProof/>
          <w:color w:val="000000"/>
        </w:rPr>
        <mc:AlternateContent>
          <mc:Choice Requires="wps">
            <w:drawing>
              <wp:anchor distT="0" distB="0" distL="114300" distR="114300" simplePos="0" relativeHeight="251711488" behindDoc="0" locked="0" layoutInCell="1" allowOverlap="1" wp14:anchorId="78F1F08C" wp14:editId="74A61F85">
                <wp:simplePos x="0" y="0"/>
                <wp:positionH relativeFrom="column">
                  <wp:posOffset>-563880</wp:posOffset>
                </wp:positionH>
                <wp:positionV relativeFrom="paragraph">
                  <wp:posOffset>1839595</wp:posOffset>
                </wp:positionV>
                <wp:extent cx="1073785" cy="330200"/>
                <wp:effectExtent l="0" t="0" r="0" b="0"/>
                <wp:wrapSquare wrapText="bothSides"/>
                <wp:docPr id="23" name="TextBox 1"/>
                <wp:cNvGraphicFramePr/>
                <a:graphic xmlns:a="http://schemas.openxmlformats.org/drawingml/2006/main">
                  <a:graphicData uri="http://schemas.microsoft.com/office/word/2010/wordprocessingShape">
                    <wps:wsp>
                      <wps:cNvSpPr txBox="1"/>
                      <wps:spPr>
                        <a:xfrm rot="16200000">
                          <a:off x="0" y="0"/>
                          <a:ext cx="1073785" cy="330200"/>
                        </a:xfrm>
                        <a:prstGeom prst="rect">
                          <a:avLst/>
                        </a:prstGeom>
                        <a:noFill/>
                      </wps:spPr>
                      <wps:txbx>
                        <w:txbxContent>
                          <w:p w14:paraId="39C5978F" w14:textId="77777777" w:rsidR="00897973" w:rsidRPr="00A20890" w:rsidRDefault="00897973" w:rsidP="00893047">
                            <w:pPr>
                              <w:pStyle w:val="NormalWeb"/>
                              <w:spacing w:before="0" w:beforeAutospacing="0" w:after="0" w:afterAutospacing="0"/>
                            </w:pPr>
                            <w:r w:rsidRPr="00A20890">
                              <w:rPr>
                                <w:rFonts w:ascii="Arial" w:eastAsia="Arial" w:hAnsi="Arial" w:cs="Arial"/>
                                <w:color w:val="000000" w:themeColor="text1"/>
                                <w:kern w:val="24"/>
                              </w:rPr>
                              <w:t>gN kg DM</w:t>
                            </w:r>
                            <w:r w:rsidRPr="00A20890">
                              <w:rPr>
                                <w:rFonts w:ascii="Arial" w:eastAsia="Arial" w:hAnsi="Arial" w:cs="Arial"/>
                                <w:color w:val="000000" w:themeColor="text1"/>
                                <w:kern w:val="24"/>
                                <w:position w:val="10"/>
                                <w:vertAlign w:val="superscript"/>
                              </w:rPr>
                              <w:t>-1</w:t>
                            </w:r>
                          </w:p>
                        </w:txbxContent>
                      </wps:txbx>
                      <wps:bodyPr wrap="square" rtlCol="0">
                        <a:spAutoFit/>
                      </wps:bodyPr>
                    </wps:wsp>
                  </a:graphicData>
                </a:graphic>
                <wp14:sizeRelH relativeFrom="margin">
                  <wp14:pctWidth>0</wp14:pctWidth>
                </wp14:sizeRelH>
              </wp:anchor>
            </w:drawing>
          </mc:Choice>
          <mc:Fallback>
            <w:pict>
              <v:shape w14:anchorId="78F1F08C" id="_x0000_s1042" type="#_x0000_t202" style="position:absolute;left:0;text-align:left;margin-left:-44.4pt;margin-top:144.85pt;width:84.55pt;height:26pt;rotation:-90;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" filled="f" stroked="f">
                <v:textbox style="mso-fit-shape-to-text:t">
                  <w:txbxContent>
                    <w:p w14:paraId="39C5978F" w14:textId="77777777" w:rsidR="00897973" w:rsidRPr="00A20890" w:rsidRDefault="00897973" w:rsidP="00893047">
                      <w:pPr>
                        <w:pStyle w:val="NormalWeb"/>
                        <w:spacing w:before="0" w:beforeAutospacing="0" w:after="0" w:afterAutospacing="0"/>
                      </w:pPr>
                      <w:r w:rsidRPr="00A20890">
                        <w:rPr>
                          <w:rFonts w:ascii="Arial" w:eastAsia="Arial" w:hAnsi="Arial" w:cs="Arial"/>
                          <w:color w:val="000000" w:themeColor="text1"/>
                          <w:kern w:val="24"/>
                        </w:rPr>
                        <w:t>gN kg DM</w:t>
                      </w:r>
                      <w:r w:rsidRPr="00A20890">
                        <w:rPr>
                          <w:rFonts w:ascii="Arial" w:eastAsia="Arial" w:hAnsi="Arial" w:cs="Arial"/>
                          <w:color w:val="000000" w:themeColor="text1"/>
                          <w:kern w:val="24"/>
                          <w:position w:val="10"/>
                          <w:vertAlign w:val="superscript"/>
                        </w:rPr>
                        <w:t>-1</w:t>
                      </w:r>
                    </w:p>
                  </w:txbxContent>
                </v:textbox>
                <w10:wrap type="square"/>
              </v:shape>
            </w:pict>
          </mc:Fallback>
        </mc:AlternateContent>
      </w:r>
      <w:r w:rsidRPr="00A20890">
        <w:rPr>
          <w:rFonts w:ascii="Times New Roman" w:eastAsia="Times New Roman" w:hAnsi="Times New Roman" w:cs="Times New Roman"/>
          <w:b/>
          <w:noProof/>
          <w:color w:val="000000"/>
        </w:rPr>
        <mc:AlternateContent>
          <mc:Choice Requires="wps">
            <w:drawing>
              <wp:anchor distT="0" distB="0" distL="114300" distR="114300" simplePos="0" relativeHeight="251710464" behindDoc="0" locked="0" layoutInCell="1" allowOverlap="1" wp14:anchorId="24142A7A" wp14:editId="34AE5939">
                <wp:simplePos x="0" y="0"/>
                <wp:positionH relativeFrom="column">
                  <wp:posOffset>3710305</wp:posOffset>
                </wp:positionH>
                <wp:positionV relativeFrom="paragraph">
                  <wp:posOffset>3771265</wp:posOffset>
                </wp:positionV>
                <wp:extent cx="1665605" cy="266700"/>
                <wp:effectExtent l="0" t="0" r="0" b="0"/>
                <wp:wrapSquare wrapText="bothSides"/>
                <wp:docPr id="22" name="TextBox 1"/>
                <wp:cNvGraphicFramePr/>
                <a:graphic xmlns:a="http://schemas.openxmlformats.org/drawingml/2006/main">
                  <a:graphicData uri="http://schemas.microsoft.com/office/word/2010/wordprocessingShape">
                    <wps:wsp>
                      <wps:cNvSpPr txBox="1"/>
                      <wps:spPr>
                        <a:xfrm>
                          <a:off x="0" y="0"/>
                          <a:ext cx="1665605" cy="266700"/>
                        </a:xfrm>
                        <a:prstGeom prst="rect">
                          <a:avLst/>
                        </a:prstGeom>
                        <a:noFill/>
                      </wps:spPr>
                      <wps:txbx>
                        <w:txbxContent>
                          <w:p w14:paraId="6C541B4B" w14:textId="77777777" w:rsidR="00897973" w:rsidRPr="00A20890" w:rsidRDefault="00897973" w:rsidP="00893047">
                            <w:pPr>
                              <w:pStyle w:val="NormalWeb"/>
                              <w:spacing w:before="0" w:beforeAutospacing="0" w:after="0" w:afterAutospacing="0"/>
                            </w:pPr>
                            <w:r w:rsidRPr="00A20890">
                              <w:rPr>
                                <w:rFonts w:ascii="Arial" w:eastAsia="Arial" w:hAnsi="Arial" w:cs="Arial"/>
                                <w:color w:val="000000" w:themeColor="text1"/>
                                <w:kern w:val="24"/>
                              </w:rPr>
                              <w:t>Month</w:t>
                            </w:r>
                          </w:p>
                        </w:txbxContent>
                      </wps:txbx>
                      <wps:bodyPr wrap="square" rtlCol="0">
                        <a:spAutoFit/>
                      </wps:bodyPr>
                    </wps:wsp>
                  </a:graphicData>
                </a:graphic>
              </wp:anchor>
            </w:drawing>
          </mc:Choice>
          <mc:Fallback>
            <w:pict>
              <v:shape w14:anchorId="24142A7A" id="_x0000_s1043" type="#_x0000_t202" style="position:absolute;left:0;text-align:left;margin-left:292.15pt;margin-top:296.95pt;width:131.15pt;height:21pt;z-index:25171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" filled="f" stroked="f">
                <v:textbox style="mso-fit-shape-to-text:t">
                  <w:txbxContent>
                    <w:p w14:paraId="6C541B4B" w14:textId="77777777" w:rsidR="00897973" w:rsidRPr="00A20890" w:rsidRDefault="00897973" w:rsidP="00893047">
                      <w:pPr>
                        <w:pStyle w:val="NormalWeb"/>
                        <w:spacing w:before="0" w:beforeAutospacing="0" w:after="0" w:afterAutospacing="0"/>
                      </w:pPr>
                      <w:r w:rsidRPr="00A20890">
                        <w:rPr>
                          <w:rFonts w:ascii="Arial" w:eastAsia="Arial" w:hAnsi="Arial" w:cs="Arial"/>
                          <w:color w:val="000000" w:themeColor="text1"/>
                          <w:kern w:val="24"/>
                        </w:rPr>
                        <w:t>Month</w:t>
                      </w:r>
                    </w:p>
                  </w:txbxContent>
                </v:textbox>
                <w10:wrap type="square"/>
              </v:shape>
            </w:pict>
          </mc:Fallback>
        </mc:AlternateContent>
      </w:r>
      <w:r w:rsidRPr="00A20890">
        <w:rPr>
          <w:rFonts w:ascii="Times New Roman" w:eastAsia="Times New Roman" w:hAnsi="Times New Roman" w:cs="Times New Roman"/>
          <w:b/>
          <w:noProof/>
          <w:color w:val="000000"/>
        </w:rPr>
        <mc:AlternateContent>
          <mc:Choice Requires="wps">
            <w:drawing>
              <wp:anchor distT="0" distB="0" distL="114300" distR="114300" simplePos="0" relativeHeight="251709440" behindDoc="0" locked="0" layoutInCell="1" allowOverlap="1" wp14:anchorId="1FA19D73" wp14:editId="16221208">
                <wp:simplePos x="0" y="0"/>
                <wp:positionH relativeFrom="column">
                  <wp:posOffset>967105</wp:posOffset>
                </wp:positionH>
                <wp:positionV relativeFrom="paragraph">
                  <wp:posOffset>3771265</wp:posOffset>
                </wp:positionV>
                <wp:extent cx="1665605" cy="266700"/>
                <wp:effectExtent l="0" t="0" r="0" b="0"/>
                <wp:wrapSquare wrapText="bothSides"/>
                <wp:docPr id="21" name="TextBox 1"/>
                <wp:cNvGraphicFramePr/>
                <a:graphic xmlns:a="http://schemas.openxmlformats.org/drawingml/2006/main">
                  <a:graphicData uri="http://schemas.microsoft.com/office/word/2010/wordprocessingShape">
                    <wps:wsp>
                      <wps:cNvSpPr txBox="1"/>
                      <wps:spPr>
                        <a:xfrm>
                          <a:off x="0" y="0"/>
                          <a:ext cx="1665605" cy="266700"/>
                        </a:xfrm>
                        <a:prstGeom prst="rect">
                          <a:avLst/>
                        </a:prstGeom>
                        <a:noFill/>
                      </wps:spPr>
                      <wps:txbx>
                        <w:txbxContent>
                          <w:p w14:paraId="71A7FDFC" w14:textId="77777777" w:rsidR="00897973" w:rsidRPr="00A20890" w:rsidRDefault="00897973" w:rsidP="00893047">
                            <w:pPr>
                              <w:pStyle w:val="NormalWeb"/>
                              <w:spacing w:before="0" w:beforeAutospacing="0" w:after="0" w:afterAutospacing="0"/>
                            </w:pPr>
                            <w:r w:rsidRPr="00A20890">
                              <w:rPr>
                                <w:rFonts w:ascii="Arial" w:eastAsia="Arial" w:hAnsi="Arial" w:cs="Arial"/>
                                <w:color w:val="000000" w:themeColor="text1"/>
                                <w:kern w:val="24"/>
                              </w:rPr>
                              <w:t>Month</w:t>
                            </w:r>
                          </w:p>
                        </w:txbxContent>
                      </wps:txbx>
                      <wps:bodyPr wrap="square" rtlCol="0">
                        <a:spAutoFit/>
                      </wps:bodyPr>
                    </wps:wsp>
                  </a:graphicData>
                </a:graphic>
              </wp:anchor>
            </w:drawing>
          </mc:Choice>
          <mc:Fallback>
            <w:pict>
              <v:shape w14:anchorId="1FA19D73" id="_x0000_s1044" type="#_x0000_t202" style="position:absolute;left:0;text-align:left;margin-left:76.15pt;margin-top:296.95pt;width:131.15pt;height:21pt;z-index:251709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" filled="f" stroked="f">
                <v:textbox style="mso-fit-shape-to-text:t">
                  <w:txbxContent>
                    <w:p w14:paraId="71A7FDFC" w14:textId="77777777" w:rsidR="00897973" w:rsidRPr="00A20890" w:rsidRDefault="00897973" w:rsidP="00893047">
                      <w:pPr>
                        <w:pStyle w:val="NormalWeb"/>
                        <w:spacing w:before="0" w:beforeAutospacing="0" w:after="0" w:afterAutospacing="0"/>
                      </w:pPr>
                      <w:r w:rsidRPr="00A20890">
                        <w:rPr>
                          <w:rFonts w:ascii="Arial" w:eastAsia="Arial" w:hAnsi="Arial" w:cs="Arial"/>
                          <w:color w:val="000000" w:themeColor="text1"/>
                          <w:kern w:val="24"/>
                        </w:rPr>
                        <w:t>Month</w:t>
                      </w:r>
                    </w:p>
                  </w:txbxContent>
                </v:textbox>
                <w10:wrap type="square"/>
              </v:shape>
            </w:pict>
          </mc:Fallback>
        </mc:AlternateContent>
      </w:r>
      <w:r>
        <w:rPr>
          <w:rFonts w:ascii="Times New Roman" w:eastAsia="Times New Roman" w:hAnsi="Times New Roman" w:cs="Times New Roman"/>
          <w:b/>
          <w:noProof/>
          <w:color w:val="000000"/>
        </w:rPr>
        <mc:AlternateContent>
          <mc:Choice Requires="wps">
            <w:drawing>
              <wp:anchor distT="0" distB="0" distL="114300" distR="114300" simplePos="0" relativeHeight="251706368" behindDoc="0" locked="0" layoutInCell="1" allowOverlap="1" wp14:anchorId="341A7ACC" wp14:editId="76E5BF4B">
                <wp:simplePos x="0" y="0"/>
                <wp:positionH relativeFrom="column">
                  <wp:posOffset>2794000</wp:posOffset>
                </wp:positionH>
                <wp:positionV relativeFrom="paragraph">
                  <wp:posOffset>4445</wp:posOffset>
                </wp:positionV>
                <wp:extent cx="2745105" cy="3995420"/>
                <wp:effectExtent l="0" t="0" r="0" b="0"/>
                <wp:wrapSquare wrapText="bothSides"/>
                <wp:docPr id="17" name="Text Box 17"/>
                <wp:cNvGraphicFramePr/>
                <a:graphic xmlns:a="http://schemas.openxmlformats.org/drawingml/2006/main">
                  <a:graphicData uri="http://schemas.microsoft.com/office/word/2010/wordprocessingShape">
                    <wps:wsp>
                      <wps:cNvSpPr txBox="1"/>
                      <wps:spPr>
                        <a:xfrm>
                          <a:off x="0" y="0"/>
                          <a:ext cx="2745105" cy="399542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4C7A28F" w14:textId="77777777" w:rsidR="00897973" w:rsidRDefault="00897973" w:rsidP="00893047"/>
                          <w:p w14:paraId="09B42517" w14:textId="77777777" w:rsidR="00897973" w:rsidRDefault="00897973" w:rsidP="00893047"/>
                          <w:p w14:paraId="5EFF8E5D" w14:textId="77777777" w:rsidR="00897973" w:rsidRDefault="00897973" w:rsidP="00893047">
                            <w:r w:rsidRPr="008767DD">
                              <w:rPr>
                                <w:noProof/>
                              </w:rPr>
                              <w:drawing>
                                <wp:inline distT="0" distB="0" distL="0" distR="0" wp14:anchorId="0D0569AB" wp14:editId="23B37D78">
                                  <wp:extent cx="2349067" cy="3354562"/>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1"/>
                                          <a:stretch>
                                            <a:fillRect/>
                                          </a:stretch>
                                        </pic:blipFill>
                                        <pic:spPr>
                                          <a:xfrm>
                                            <a:off x="0" y="0"/>
                                            <a:ext cx="2385295" cy="340629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1A7ACC" id="Text Box 17" o:spid="_x0000_s1045" type="#_x0000_t202" style="position:absolute;left:0;text-align:left;margin-left:220pt;margin-top:.35pt;width:216.15pt;height:314.6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" filled="f" stroked="f">
                <v:textbox>
                  <w:txbxContent>
                    <w:p w14:paraId="54C7A28F" w14:textId="77777777" w:rsidR="00897973" w:rsidRDefault="00897973" w:rsidP="00893047"/>
                    <w:p w14:paraId="09B42517" w14:textId="77777777" w:rsidR="00897973" w:rsidRDefault="00897973" w:rsidP="00893047"/>
                    <w:p w14:paraId="5EFF8E5D" w14:textId="77777777" w:rsidR="00897973" w:rsidRDefault="00897973" w:rsidP="00893047">
                      <w:r w:rsidRPr="008767DD">
                        <w:rPr>
                          <w:noProof/>
                        </w:rPr>
                        <w:drawing>
                          <wp:inline distT="0" distB="0" distL="0" distR="0" wp14:anchorId="0D0569AB" wp14:editId="23B37D78">
                            <wp:extent cx="2349067" cy="3354562"/>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1"/>
                                    <a:stretch>
                                      <a:fillRect/>
                                    </a:stretch>
                                  </pic:blipFill>
                                  <pic:spPr>
                                    <a:xfrm>
                                      <a:off x="0" y="0"/>
                                      <a:ext cx="2385295" cy="3406298"/>
                                    </a:xfrm>
                                    <a:prstGeom prst="rect">
                                      <a:avLst/>
                                    </a:prstGeom>
                                  </pic:spPr>
                                </pic:pic>
                              </a:graphicData>
                            </a:graphic>
                          </wp:inline>
                        </w:drawing>
                      </w:r>
                    </w:p>
                  </w:txbxContent>
                </v:textbox>
                <w10:wrap type="square"/>
              </v:shape>
            </w:pict>
          </mc:Fallback>
        </mc:AlternateContent>
      </w:r>
      <w:r w:rsidRPr="0045215C">
        <w:rPr>
          <w:rFonts w:ascii="Times New Roman" w:eastAsia="Times New Roman" w:hAnsi="Times New Roman" w:cs="Times New Roman"/>
          <w:b/>
          <w:noProof/>
          <w:color w:val="000000"/>
        </w:rPr>
        <mc:AlternateContent>
          <mc:Choice Requires="wps">
            <w:drawing>
              <wp:anchor distT="0" distB="0" distL="114300" distR="114300" simplePos="0" relativeHeight="251707392" behindDoc="0" locked="0" layoutInCell="1" allowOverlap="1" wp14:anchorId="66E8A29F" wp14:editId="05B389B4">
                <wp:simplePos x="0" y="0"/>
                <wp:positionH relativeFrom="column">
                  <wp:posOffset>278130</wp:posOffset>
                </wp:positionH>
                <wp:positionV relativeFrom="paragraph">
                  <wp:posOffset>231140</wp:posOffset>
                </wp:positionV>
                <wp:extent cx="2649855" cy="266700"/>
                <wp:effectExtent l="0" t="0" r="0" b="0"/>
                <wp:wrapSquare wrapText="bothSides"/>
                <wp:docPr id="19" name="TextBox 1"/>
                <wp:cNvGraphicFramePr/>
                <a:graphic xmlns:a="http://schemas.openxmlformats.org/drawingml/2006/main">
                  <a:graphicData uri="http://schemas.microsoft.com/office/word/2010/wordprocessingShape">
                    <wps:wsp>
                      <wps:cNvSpPr txBox="1"/>
                      <wps:spPr>
                        <a:xfrm>
                          <a:off x="0" y="0"/>
                          <a:ext cx="2649855" cy="266700"/>
                        </a:xfrm>
                        <a:prstGeom prst="rect">
                          <a:avLst/>
                        </a:prstGeom>
                        <a:noFill/>
                      </wps:spPr>
                      <wps:txbx>
                        <w:txbxContent>
                          <w:p w14:paraId="37E12ED9" w14:textId="77777777" w:rsidR="00897973" w:rsidRPr="0045215C" w:rsidRDefault="00897973" w:rsidP="00893047">
                            <w:pPr>
                              <w:pStyle w:val="NormalWeb"/>
                              <w:spacing w:before="0" w:beforeAutospacing="0" w:after="0" w:afterAutospacing="0"/>
                            </w:pPr>
                            <w:r w:rsidRPr="0045215C">
                              <w:rPr>
                                <w:rFonts w:ascii="Arial" w:eastAsia="Arial" w:hAnsi="Arial" w:cs="Arial"/>
                                <w:color w:val="000000" w:themeColor="text1"/>
                                <w:kern w:val="24"/>
                              </w:rPr>
                              <w:t>(a) Leaf N concentration</w:t>
                            </w:r>
                          </w:p>
                        </w:txbxContent>
                      </wps:txbx>
                      <wps:bodyPr wrap="square" rtlCol="0">
                        <a:spAutoFit/>
                      </wps:bodyPr>
                    </wps:wsp>
                  </a:graphicData>
                </a:graphic>
              </wp:anchor>
            </w:drawing>
          </mc:Choice>
          <mc:Fallback>
            <w:pict>
              <v:shape w14:anchorId="66E8A29F" id="_x0000_s1046" type="#_x0000_t202" style="position:absolute;left:0;text-align:left;margin-left:21.9pt;margin-top:18.2pt;width:208.65pt;height:21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" filled="f" stroked="f">
                <v:textbox style="mso-fit-shape-to-text:t">
                  <w:txbxContent>
                    <w:p w14:paraId="37E12ED9" w14:textId="77777777" w:rsidR="00897973" w:rsidRPr="0045215C" w:rsidRDefault="00897973" w:rsidP="00893047">
                      <w:pPr>
                        <w:pStyle w:val="NormalWeb"/>
                        <w:spacing w:before="0" w:beforeAutospacing="0" w:after="0" w:afterAutospacing="0"/>
                      </w:pPr>
                      <w:r w:rsidRPr="0045215C">
                        <w:rPr>
                          <w:rFonts w:ascii="Arial" w:eastAsia="Arial" w:hAnsi="Arial" w:cs="Arial"/>
                          <w:color w:val="000000" w:themeColor="text1"/>
                          <w:kern w:val="24"/>
                        </w:rPr>
                        <w:t>(a) Leaf N concentration</w:t>
                      </w:r>
                    </w:p>
                  </w:txbxContent>
                </v:textbox>
                <w10:wrap type="square"/>
              </v:shape>
            </w:pict>
          </mc:Fallback>
        </mc:AlternateContent>
      </w:r>
      <w:r w:rsidRPr="0045215C">
        <w:rPr>
          <w:rFonts w:ascii="Times New Roman" w:eastAsia="Times New Roman" w:hAnsi="Times New Roman" w:cs="Times New Roman"/>
          <w:b/>
          <w:noProof/>
          <w:color w:val="000000"/>
        </w:rPr>
        <mc:AlternateContent>
          <mc:Choice Requires="wps">
            <w:drawing>
              <wp:anchor distT="0" distB="0" distL="114300" distR="114300" simplePos="0" relativeHeight="251708416" behindDoc="0" locked="0" layoutInCell="1" allowOverlap="1" wp14:anchorId="53B66CFF" wp14:editId="18804BBB">
                <wp:simplePos x="0" y="0"/>
                <wp:positionH relativeFrom="column">
                  <wp:posOffset>3138170</wp:posOffset>
                </wp:positionH>
                <wp:positionV relativeFrom="paragraph">
                  <wp:posOffset>226695</wp:posOffset>
                </wp:positionV>
                <wp:extent cx="2649855" cy="266700"/>
                <wp:effectExtent l="0" t="0" r="0" b="0"/>
                <wp:wrapSquare wrapText="bothSides"/>
                <wp:docPr id="20" name="TextBox 2"/>
                <wp:cNvGraphicFramePr/>
                <a:graphic xmlns:a="http://schemas.openxmlformats.org/drawingml/2006/main">
                  <a:graphicData uri="http://schemas.microsoft.com/office/word/2010/wordprocessingShape">
                    <wps:wsp>
                      <wps:cNvSpPr txBox="1"/>
                      <wps:spPr>
                        <a:xfrm>
                          <a:off x="0" y="0"/>
                          <a:ext cx="2649855" cy="266700"/>
                        </a:xfrm>
                        <a:prstGeom prst="rect">
                          <a:avLst/>
                        </a:prstGeom>
                        <a:noFill/>
                      </wps:spPr>
                      <wps:txbx>
                        <w:txbxContent>
                          <w:p w14:paraId="54CF14E5" w14:textId="77777777" w:rsidR="00897973" w:rsidRPr="0045215C" w:rsidRDefault="00897973" w:rsidP="00893047">
                            <w:pPr>
                              <w:pStyle w:val="NormalWeb"/>
                              <w:spacing w:before="0" w:beforeAutospacing="0" w:after="0" w:afterAutospacing="0"/>
                            </w:pPr>
                            <w:r w:rsidRPr="0045215C">
                              <w:rPr>
                                <w:rFonts w:ascii="Arial" w:eastAsia="Arial" w:hAnsi="Arial" w:cs="Arial"/>
                                <w:color w:val="000000" w:themeColor="text1"/>
                                <w:kern w:val="24"/>
                              </w:rPr>
                              <w:t>(b) Leaf P concentration</w:t>
                            </w:r>
                          </w:p>
                        </w:txbxContent>
                      </wps:txbx>
                      <wps:bodyPr wrap="square" rtlCol="0">
                        <a:spAutoFit/>
                      </wps:bodyPr>
                    </wps:wsp>
                  </a:graphicData>
                </a:graphic>
              </wp:anchor>
            </w:drawing>
          </mc:Choice>
          <mc:Fallback>
            <w:pict>
              <v:shape w14:anchorId="53B66CFF" id="_x0000_s1047" type="#_x0000_t202" style="position:absolute;left:0;text-align:left;margin-left:247.1pt;margin-top:17.85pt;width:208.65pt;height:21pt;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" filled="f" stroked="f">
                <v:textbox style="mso-fit-shape-to-text:t">
                  <w:txbxContent>
                    <w:p w14:paraId="54CF14E5" w14:textId="77777777" w:rsidR="00897973" w:rsidRPr="0045215C" w:rsidRDefault="00897973" w:rsidP="00893047">
                      <w:pPr>
                        <w:pStyle w:val="NormalWeb"/>
                        <w:spacing w:before="0" w:beforeAutospacing="0" w:after="0" w:afterAutospacing="0"/>
                      </w:pPr>
                      <w:r w:rsidRPr="0045215C">
                        <w:rPr>
                          <w:rFonts w:ascii="Arial" w:eastAsia="Arial" w:hAnsi="Arial" w:cs="Arial"/>
                          <w:color w:val="000000" w:themeColor="text1"/>
                          <w:kern w:val="24"/>
                        </w:rPr>
                        <w:t>(b) Leaf P concentration</w:t>
                      </w:r>
                    </w:p>
                  </w:txbxContent>
                </v:textbox>
                <w10:wrap type="square"/>
              </v:shape>
            </w:pict>
          </mc:Fallback>
        </mc:AlternateContent>
      </w:r>
      <w:r>
        <w:rPr>
          <w:rFonts w:ascii="Times New Roman" w:eastAsia="Times New Roman" w:hAnsi="Times New Roman" w:cs="Times New Roman"/>
          <w:b/>
          <w:noProof/>
          <w:color w:val="000000"/>
        </w:rPr>
        <mc:AlternateContent>
          <mc:Choice Requires="wps">
            <w:drawing>
              <wp:anchor distT="0" distB="0" distL="114300" distR="114300" simplePos="0" relativeHeight="251705344" behindDoc="0" locked="0" layoutInCell="1" allowOverlap="1" wp14:anchorId="0CE5F74A" wp14:editId="6D4C87C1">
                <wp:simplePos x="0" y="0"/>
                <wp:positionH relativeFrom="column">
                  <wp:posOffset>55880</wp:posOffset>
                </wp:positionH>
                <wp:positionV relativeFrom="paragraph">
                  <wp:posOffset>0</wp:posOffset>
                </wp:positionV>
                <wp:extent cx="2966720" cy="4229100"/>
                <wp:effectExtent l="0" t="0" r="0" b="12700"/>
                <wp:wrapSquare wrapText="bothSides"/>
                <wp:docPr id="15" name="Text Box 15"/>
                <wp:cNvGraphicFramePr/>
                <a:graphic xmlns:a="http://schemas.openxmlformats.org/drawingml/2006/main">
                  <a:graphicData uri="http://schemas.microsoft.com/office/word/2010/wordprocessingShape">
                    <wps:wsp>
                      <wps:cNvSpPr txBox="1"/>
                      <wps:spPr>
                        <a:xfrm>
                          <a:off x="0" y="0"/>
                          <a:ext cx="2966720" cy="42291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7617BC5" w14:textId="77777777" w:rsidR="00897973" w:rsidRDefault="00897973" w:rsidP="00893047">
                            <w:r>
                              <w:br/>
                            </w:r>
                          </w:p>
                          <w:p w14:paraId="61D60197" w14:textId="77777777" w:rsidR="00897973" w:rsidRDefault="00897973" w:rsidP="00893047">
                            <w:r w:rsidRPr="008767DD">
                              <w:rPr>
                                <w:rFonts w:ascii="Times New Roman" w:eastAsia="Times New Roman" w:hAnsi="Times New Roman" w:cs="Times New Roman"/>
                                <w:b/>
                                <w:noProof/>
                                <w:color w:val="000000"/>
                              </w:rPr>
                              <w:drawing>
                                <wp:inline distT="0" distB="0" distL="0" distR="0" wp14:anchorId="6A07F391" wp14:editId="4E17E93A">
                                  <wp:extent cx="2249133" cy="3499187"/>
                                  <wp:effectExtent l="0" t="0" r="12065" b="635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2"/>
                                          <a:stretch>
                                            <a:fillRect/>
                                          </a:stretch>
                                        </pic:blipFill>
                                        <pic:spPr>
                                          <a:xfrm>
                                            <a:off x="0" y="0"/>
                                            <a:ext cx="2263557" cy="352162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CE5F74A" id="Text Box 15" o:spid="_x0000_s1048" type="#_x0000_t202" style="position:absolute;left:0;text-align:left;margin-left:4.4pt;margin-top:0;width:233.6pt;height:333pt;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" filled="f" stroked="f">
                <v:textbox>
                  <w:txbxContent>
                    <w:p w14:paraId="27617BC5" w14:textId="77777777" w:rsidR="00897973" w:rsidRDefault="00897973" w:rsidP="00893047">
                      <w:r>
                        <w:br/>
                      </w:r>
                    </w:p>
                    <w:p w14:paraId="61D60197" w14:textId="77777777" w:rsidR="00897973" w:rsidRDefault="00897973" w:rsidP="00893047">
                      <w:r w:rsidRPr="008767DD">
                        <w:rPr>
                          <w:rFonts w:ascii="Times New Roman" w:eastAsia="Times New Roman" w:hAnsi="Times New Roman" w:cs="Times New Roman"/>
                          <w:b/>
                          <w:noProof/>
                          <w:color w:val="000000"/>
                        </w:rPr>
                        <w:drawing>
                          <wp:inline distT="0" distB="0" distL="0" distR="0" wp14:anchorId="6A07F391" wp14:editId="4E17E93A">
                            <wp:extent cx="2249133" cy="3499187"/>
                            <wp:effectExtent l="0" t="0" r="12065" b="635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2"/>
                                    <a:stretch>
                                      <a:fillRect/>
                                    </a:stretch>
                                  </pic:blipFill>
                                  <pic:spPr>
                                    <a:xfrm>
                                      <a:off x="0" y="0"/>
                                      <a:ext cx="2263557" cy="3521628"/>
                                    </a:xfrm>
                                    <a:prstGeom prst="rect">
                                      <a:avLst/>
                                    </a:prstGeom>
                                  </pic:spPr>
                                </pic:pic>
                              </a:graphicData>
                            </a:graphic>
                          </wp:inline>
                        </w:drawing>
                      </w:r>
                    </w:p>
                  </w:txbxContent>
                </v:textbox>
                <w10:wrap type="square"/>
              </v:shape>
            </w:pict>
          </mc:Fallback>
        </mc:AlternateContent>
      </w:r>
    </w:p>
    <w:p w14:paraId="39CF6AC3" w14:textId="102C83F9" w:rsidR="00893047" w:rsidRDefault="005235A2" w:rsidP="00757ABE">
      <w:pPr>
        <w:spacing w:before="120"/>
        <w:jc w:val="both"/>
        <w:rPr>
          <w:rFonts w:ascii="Times New Roman" w:eastAsia="Times New Roman" w:hAnsi="Times New Roman" w:cs="Times New Roman"/>
          <w:color w:val="000000"/>
        </w:rPr>
      </w:pPr>
      <w:r>
        <w:rPr>
          <w:rFonts w:ascii="Times New Roman" w:eastAsia="Times New Roman" w:hAnsi="Times New Roman" w:cs="Times New Roman"/>
          <w:b/>
          <w:color w:val="000000"/>
        </w:rPr>
        <w:t>Figure S11</w:t>
      </w:r>
      <w:r w:rsidR="00893047">
        <w:rPr>
          <w:rFonts w:ascii="Times New Roman" w:eastAsia="Times New Roman" w:hAnsi="Times New Roman" w:cs="Times New Roman"/>
          <w:b/>
          <w:color w:val="000000"/>
        </w:rPr>
        <w:t xml:space="preserve"> </w:t>
      </w:r>
      <w:r w:rsidR="00893047">
        <w:rPr>
          <w:rFonts w:ascii="Times New Roman" w:eastAsia="Times New Roman" w:hAnsi="Times New Roman" w:cs="Times New Roman"/>
          <w:color w:val="000000"/>
        </w:rPr>
        <w:t xml:space="preserve">Seasonal cycle of leaf N (a) and P concentration (b) simulated by ORCHIDEE-CNP with excluding managed lands (crop and pastures) </w:t>
      </w:r>
      <w:r w:rsidR="00893047">
        <w:rPr>
          <w:rFonts w:ascii="Times New Roman" w:eastAsia="Times New Roman" w:hAnsi="Times New Roman" w:cs="Times New Roman"/>
        </w:rPr>
        <w:t>for north hemisphere (NH; 30</w:t>
      </w:r>
      <w:r w:rsidR="00893047">
        <w:rPr>
          <w:rFonts w:ascii="Times New Roman" w:eastAsia="Times New Roman" w:hAnsi="Times New Roman" w:cs="Times New Roman"/>
          <w:vertAlign w:val="superscript"/>
        </w:rPr>
        <w:t>o</w:t>
      </w:r>
      <w:r w:rsidR="00893047">
        <w:rPr>
          <w:rFonts w:ascii="Times New Roman" w:eastAsia="Times New Roman" w:hAnsi="Times New Roman" w:cs="Times New Roman"/>
        </w:rPr>
        <w:t>N-90</w:t>
      </w:r>
      <w:r w:rsidR="00893047">
        <w:rPr>
          <w:rFonts w:ascii="Times New Roman" w:eastAsia="Times New Roman" w:hAnsi="Times New Roman" w:cs="Times New Roman"/>
          <w:vertAlign w:val="superscript"/>
        </w:rPr>
        <w:t xml:space="preserve"> o</w:t>
      </w:r>
      <w:r w:rsidR="00893047">
        <w:rPr>
          <w:rFonts w:ascii="Times New Roman" w:eastAsia="Times New Roman" w:hAnsi="Times New Roman" w:cs="Times New Roman"/>
        </w:rPr>
        <w:t>N), north tropical (NT; 0</w:t>
      </w:r>
      <w:r w:rsidR="00893047">
        <w:rPr>
          <w:rFonts w:ascii="Times New Roman" w:eastAsia="Times New Roman" w:hAnsi="Times New Roman" w:cs="Times New Roman"/>
          <w:vertAlign w:val="superscript"/>
        </w:rPr>
        <w:t>o</w:t>
      </w:r>
      <w:r w:rsidR="00893047">
        <w:rPr>
          <w:rFonts w:ascii="Times New Roman" w:eastAsia="Times New Roman" w:hAnsi="Times New Roman" w:cs="Times New Roman"/>
        </w:rPr>
        <w:t>-30</w:t>
      </w:r>
      <w:r w:rsidR="00893047">
        <w:rPr>
          <w:rFonts w:ascii="Times New Roman" w:eastAsia="Times New Roman" w:hAnsi="Times New Roman" w:cs="Times New Roman"/>
          <w:vertAlign w:val="superscript"/>
        </w:rPr>
        <w:t>o</w:t>
      </w:r>
      <w:r w:rsidR="00893047">
        <w:rPr>
          <w:rFonts w:ascii="Times New Roman" w:eastAsia="Times New Roman" w:hAnsi="Times New Roman" w:cs="Times New Roman"/>
        </w:rPr>
        <w:t>N), south tropical (ST; 0</w:t>
      </w:r>
      <w:r w:rsidR="00893047">
        <w:rPr>
          <w:rFonts w:ascii="Times New Roman" w:eastAsia="Times New Roman" w:hAnsi="Times New Roman" w:cs="Times New Roman"/>
          <w:vertAlign w:val="superscript"/>
        </w:rPr>
        <w:t>o</w:t>
      </w:r>
      <w:r w:rsidR="00893047">
        <w:rPr>
          <w:rFonts w:ascii="Times New Roman" w:eastAsia="Times New Roman" w:hAnsi="Times New Roman" w:cs="Times New Roman"/>
        </w:rPr>
        <w:t>-30</w:t>
      </w:r>
      <w:r w:rsidR="00893047">
        <w:rPr>
          <w:rFonts w:ascii="Times New Roman" w:eastAsia="Times New Roman" w:hAnsi="Times New Roman" w:cs="Times New Roman"/>
          <w:vertAlign w:val="superscript"/>
        </w:rPr>
        <w:t xml:space="preserve"> o</w:t>
      </w:r>
      <w:r w:rsidR="00893047">
        <w:rPr>
          <w:rFonts w:ascii="Times New Roman" w:eastAsia="Times New Roman" w:hAnsi="Times New Roman" w:cs="Times New Roman"/>
        </w:rPr>
        <w:t>S) and south hemisphere (SH; 30</w:t>
      </w:r>
      <w:r w:rsidR="00893047">
        <w:rPr>
          <w:rFonts w:ascii="Times New Roman" w:eastAsia="Times New Roman" w:hAnsi="Times New Roman" w:cs="Times New Roman"/>
          <w:vertAlign w:val="superscript"/>
        </w:rPr>
        <w:t>o</w:t>
      </w:r>
      <w:r w:rsidR="00893047">
        <w:rPr>
          <w:rFonts w:ascii="Times New Roman" w:eastAsia="Times New Roman" w:hAnsi="Times New Roman" w:cs="Times New Roman"/>
        </w:rPr>
        <w:t>S-90</w:t>
      </w:r>
      <w:r w:rsidR="00893047">
        <w:rPr>
          <w:rFonts w:ascii="Times New Roman" w:eastAsia="Times New Roman" w:hAnsi="Times New Roman" w:cs="Times New Roman"/>
          <w:vertAlign w:val="superscript"/>
        </w:rPr>
        <w:t xml:space="preserve"> o</w:t>
      </w:r>
      <w:r w:rsidR="00893047">
        <w:rPr>
          <w:rFonts w:ascii="Times New Roman" w:eastAsia="Times New Roman" w:hAnsi="Times New Roman" w:cs="Times New Roman"/>
        </w:rPr>
        <w:t>S)</w:t>
      </w:r>
      <w:r w:rsidR="00893047">
        <w:rPr>
          <w:rFonts w:ascii="Times New Roman" w:eastAsia="Times New Roman" w:hAnsi="Times New Roman" w:cs="Times New Roman"/>
          <w:color w:val="000000"/>
        </w:rPr>
        <w:t>.</w:t>
      </w:r>
    </w:p>
    <w:p w14:paraId="3BEDA211" w14:textId="77777777" w:rsidR="004762F5" w:rsidRDefault="004762F5" w:rsidP="004762F5">
      <w:pPr>
        <w:rPr>
          <w:lang w:val="en-GB" w:eastAsia="de-DE"/>
        </w:rPr>
      </w:pPr>
    </w:p>
    <w:p w14:paraId="266F30BB" w14:textId="77777777" w:rsidR="004762F5" w:rsidRDefault="004762F5" w:rsidP="004762F5">
      <w:pPr>
        <w:rPr>
          <w:lang w:val="en-GB" w:eastAsia="de-DE"/>
        </w:rPr>
      </w:pPr>
      <w:r>
        <w:rPr>
          <w:noProof/>
        </w:rPr>
        <w:lastRenderedPageBreak/>
        <mc:AlternateContent>
          <mc:Choice Requires="wps">
            <w:drawing>
              <wp:anchor distT="0" distB="0" distL="114300" distR="114300" simplePos="0" relativeHeight="251695104" behindDoc="0" locked="0" layoutInCell="1" allowOverlap="1" wp14:anchorId="2B53DD7F" wp14:editId="4B65280E">
                <wp:simplePos x="0" y="0"/>
                <wp:positionH relativeFrom="column">
                  <wp:posOffset>261620</wp:posOffset>
                </wp:positionH>
                <wp:positionV relativeFrom="paragraph">
                  <wp:posOffset>207010</wp:posOffset>
                </wp:positionV>
                <wp:extent cx="5824220" cy="4806950"/>
                <wp:effectExtent l="0" t="0" r="0" b="0"/>
                <wp:wrapSquare wrapText="bothSides"/>
                <wp:docPr id="43" name="Text Box 43"/>
                <wp:cNvGraphicFramePr/>
                <a:graphic xmlns:a="http://schemas.openxmlformats.org/drawingml/2006/main">
                  <a:graphicData uri="http://schemas.microsoft.com/office/word/2010/wordprocessingShape">
                    <wps:wsp>
                      <wps:cNvSpPr txBox="1"/>
                      <wps:spPr>
                        <a:xfrm>
                          <a:off x="0" y="0"/>
                          <a:ext cx="5824220" cy="480695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A727EB2" w14:textId="77777777" w:rsidR="00897973" w:rsidRDefault="00897973" w:rsidP="004762F5"/>
                          <w:p w14:paraId="557345E9" w14:textId="77777777" w:rsidR="00897973" w:rsidRDefault="00897973" w:rsidP="004762F5"/>
                          <w:p w14:paraId="424DCDEA" w14:textId="77777777" w:rsidR="00897973" w:rsidRDefault="00897973" w:rsidP="004762F5"/>
                          <w:p w14:paraId="3DE174C8" w14:textId="77777777" w:rsidR="00897973" w:rsidRDefault="00897973" w:rsidP="004762F5">
                            <w:r>
                              <w:rPr>
                                <w:noProof/>
                              </w:rPr>
                              <w:drawing>
                                <wp:inline distT="0" distB="0" distL="0" distR="0" wp14:anchorId="6893A28A" wp14:editId="02CF84AB">
                                  <wp:extent cx="5439600" cy="3852000"/>
                                  <wp:effectExtent l="0" t="0" r="0" b="8890"/>
                                  <wp:docPr id="54" name="Picture 54" descr="Code_for_Matlab/Global_Eval/Figures/Figure7_csink_global_region_new_30.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de_for_Matlab/Global_Eval/Figures/Figure7_csink_global_region_new_30.pd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39600" cy="38520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53DD7F" id="Text Box 43" o:spid="_x0000_s1049" type="#_x0000_t202" style="position:absolute;margin-left:20.6pt;margin-top:16.3pt;width:458.6pt;height:378.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" filled="f" stroked="f">
                <v:textbox>
                  <w:txbxContent>
                    <w:p w14:paraId="3A727EB2" w14:textId="77777777" w:rsidR="00897973" w:rsidRDefault="00897973" w:rsidP="004762F5"/>
                    <w:p w14:paraId="557345E9" w14:textId="77777777" w:rsidR="00897973" w:rsidRDefault="00897973" w:rsidP="004762F5"/>
                    <w:p w14:paraId="424DCDEA" w14:textId="77777777" w:rsidR="00897973" w:rsidRDefault="00897973" w:rsidP="004762F5"/>
                    <w:p w14:paraId="3DE174C8" w14:textId="77777777" w:rsidR="00897973" w:rsidRDefault="00897973" w:rsidP="004762F5">
                      <w:r>
                        <w:rPr>
                          <w:noProof/>
                        </w:rPr>
                        <w:drawing>
                          <wp:inline distT="0" distB="0" distL="0" distR="0" wp14:anchorId="6893A28A" wp14:editId="02CF84AB">
                            <wp:extent cx="5439600" cy="3852000"/>
                            <wp:effectExtent l="0" t="0" r="0" b="8890"/>
                            <wp:docPr id="54" name="Picture 54" descr="Code_for_Matlab/Global_Eval/Figures/Figure7_csink_global_region_new_30.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de_for_Matlab/Global_Eval/Figures/Figure7_csink_global_region_new_30.pd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39600" cy="3852000"/>
                                    </a:xfrm>
                                    <a:prstGeom prst="rect">
                                      <a:avLst/>
                                    </a:prstGeom>
                                    <a:noFill/>
                                    <a:ln>
                                      <a:noFill/>
                                    </a:ln>
                                  </pic:spPr>
                                </pic:pic>
                              </a:graphicData>
                            </a:graphic>
                          </wp:inline>
                        </w:drawing>
                      </w:r>
                    </w:p>
                  </w:txbxContent>
                </v:textbox>
                <w10:wrap type="square"/>
              </v:shape>
            </w:pict>
          </mc:Fallback>
        </mc:AlternateContent>
      </w:r>
    </w:p>
    <w:p w14:paraId="12AD4583" w14:textId="77777777" w:rsidR="004762F5" w:rsidRDefault="004762F5" w:rsidP="004762F5">
      <w:pPr>
        <w:rPr>
          <w:lang w:eastAsia="de-DE"/>
        </w:rPr>
      </w:pPr>
    </w:p>
    <w:p w14:paraId="1C506252" w14:textId="49FC3673" w:rsidR="004762F5" w:rsidRPr="00A10CE1" w:rsidRDefault="00DB5937" w:rsidP="004762F5">
      <w:pPr>
        <w:pStyle w:val="Caption"/>
        <w:rPr>
          <w:b w:val="0"/>
          <w:sz w:val="24"/>
          <w:szCs w:val="24"/>
          <w:lang w:val="en-US"/>
        </w:rPr>
      </w:pPr>
      <w:r w:rsidRPr="00DB5937">
        <w:rPr>
          <w:sz w:val="24"/>
          <w:szCs w:val="24"/>
        </w:rPr>
        <w:t>Figure S12</w:t>
      </w:r>
      <w:r w:rsidR="004762F5" w:rsidRPr="00A10CE1">
        <w:rPr>
          <w:b w:val="0"/>
          <w:sz w:val="24"/>
          <w:szCs w:val="24"/>
        </w:rPr>
        <w:t xml:space="preserve"> </w:t>
      </w:r>
      <w:r w:rsidR="004762F5" w:rsidRPr="00A10CE1">
        <w:rPr>
          <w:b w:val="0"/>
          <w:sz w:val="24"/>
          <w:szCs w:val="24"/>
          <w:lang w:val="en-US"/>
        </w:rPr>
        <w:t>Comparisons of net biome productivity (NBP) between ORCHIDEE-CNP, ORCHIDEE, GCP and inversion dataset for (a) globe (b) the northern hemisphere (30</w:t>
      </w:r>
      <w:r w:rsidR="004762F5" w:rsidRPr="00A10CE1">
        <w:rPr>
          <w:b w:val="0"/>
          <w:sz w:val="24"/>
          <w:szCs w:val="24"/>
          <w:vertAlign w:val="superscript"/>
          <w:lang w:val="en-US"/>
        </w:rPr>
        <w:t>o</w:t>
      </w:r>
      <w:r w:rsidR="004762F5" w:rsidRPr="00A10CE1">
        <w:rPr>
          <w:b w:val="0"/>
          <w:sz w:val="24"/>
          <w:szCs w:val="24"/>
          <w:lang w:val="en-US"/>
        </w:rPr>
        <w:t>N-90</w:t>
      </w:r>
      <w:r w:rsidR="004762F5" w:rsidRPr="00A10CE1">
        <w:rPr>
          <w:b w:val="0"/>
          <w:sz w:val="24"/>
          <w:szCs w:val="24"/>
          <w:vertAlign w:val="superscript"/>
          <w:lang w:val="en-US"/>
        </w:rPr>
        <w:t xml:space="preserve"> o</w:t>
      </w:r>
      <w:r w:rsidR="004762F5" w:rsidRPr="00A10CE1">
        <w:rPr>
          <w:b w:val="0"/>
          <w:sz w:val="24"/>
          <w:szCs w:val="24"/>
          <w:lang w:val="en-US"/>
        </w:rPr>
        <w:t>N), (c) tropical (30</w:t>
      </w:r>
      <w:r w:rsidR="004762F5" w:rsidRPr="00A10CE1">
        <w:rPr>
          <w:b w:val="0"/>
          <w:sz w:val="24"/>
          <w:szCs w:val="24"/>
          <w:vertAlign w:val="superscript"/>
          <w:lang w:val="en-US"/>
        </w:rPr>
        <w:t>o</w:t>
      </w:r>
      <w:r w:rsidR="004762F5" w:rsidRPr="00A10CE1">
        <w:rPr>
          <w:b w:val="0"/>
          <w:sz w:val="24"/>
          <w:szCs w:val="24"/>
          <w:lang w:val="en-US"/>
        </w:rPr>
        <w:t>S-30</w:t>
      </w:r>
      <w:r w:rsidR="004762F5" w:rsidRPr="00A10CE1">
        <w:rPr>
          <w:b w:val="0"/>
          <w:sz w:val="24"/>
          <w:szCs w:val="24"/>
          <w:vertAlign w:val="superscript"/>
          <w:lang w:val="en-US"/>
        </w:rPr>
        <w:t xml:space="preserve"> o</w:t>
      </w:r>
      <w:r w:rsidR="004762F5" w:rsidRPr="00A10CE1">
        <w:rPr>
          <w:b w:val="0"/>
          <w:sz w:val="24"/>
          <w:szCs w:val="24"/>
          <w:lang w:val="en-US"/>
        </w:rPr>
        <w:t>N), and (d) the southern hemisphere (30</w:t>
      </w:r>
      <w:r w:rsidR="004762F5" w:rsidRPr="00A10CE1">
        <w:rPr>
          <w:b w:val="0"/>
          <w:sz w:val="24"/>
          <w:szCs w:val="24"/>
          <w:vertAlign w:val="superscript"/>
          <w:lang w:val="en-US"/>
        </w:rPr>
        <w:t>o</w:t>
      </w:r>
      <w:r w:rsidR="004762F5" w:rsidRPr="00A10CE1">
        <w:rPr>
          <w:b w:val="0"/>
          <w:sz w:val="24"/>
          <w:szCs w:val="24"/>
          <w:lang w:val="en-US"/>
        </w:rPr>
        <w:t>S-90</w:t>
      </w:r>
      <w:r w:rsidR="004762F5" w:rsidRPr="00A10CE1">
        <w:rPr>
          <w:b w:val="0"/>
          <w:sz w:val="24"/>
          <w:szCs w:val="24"/>
          <w:vertAlign w:val="superscript"/>
          <w:lang w:val="en-US"/>
        </w:rPr>
        <w:t>o</w:t>
      </w:r>
      <w:r w:rsidR="004762F5" w:rsidRPr="00A10CE1">
        <w:rPr>
          <w:b w:val="0"/>
          <w:sz w:val="24"/>
          <w:szCs w:val="24"/>
          <w:lang w:val="en-US"/>
        </w:rPr>
        <w:t>S). Grey shading indicates ±1σ uncertainty of DGVM results for Trendy v6.</w:t>
      </w:r>
    </w:p>
    <w:p w14:paraId="28AA1517" w14:textId="77777777" w:rsidR="00C935D8" w:rsidRDefault="00C81284" w:rsidP="00C935D8">
      <w:pPr>
        <w:spacing w:before="120" w:line="36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br w:type="page"/>
      </w:r>
      <w:r w:rsidR="00C935D8" w:rsidRPr="00C13476">
        <w:rPr>
          <w:rFonts w:ascii="Times New Roman" w:eastAsia="Times New Roman" w:hAnsi="Times New Roman" w:cs="Times New Roman"/>
          <w:noProof/>
          <w:color w:val="000000"/>
        </w:rPr>
        <w:lastRenderedPageBreak/>
        <w:drawing>
          <wp:inline distT="0" distB="0" distL="0" distR="0" wp14:anchorId="6693146E" wp14:editId="3383C0C4">
            <wp:extent cx="5727700" cy="4631690"/>
            <wp:effectExtent l="0" t="0" r="1270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4"/>
                    <a:stretch>
                      <a:fillRect/>
                    </a:stretch>
                  </pic:blipFill>
                  <pic:spPr>
                    <a:xfrm>
                      <a:off x="0" y="0"/>
                      <a:ext cx="5727700" cy="4631690"/>
                    </a:xfrm>
                    <a:prstGeom prst="rect">
                      <a:avLst/>
                    </a:prstGeom>
                  </pic:spPr>
                </pic:pic>
              </a:graphicData>
            </a:graphic>
          </wp:inline>
        </w:drawing>
      </w:r>
    </w:p>
    <w:p w14:paraId="1FF7E3E8" w14:textId="03284E26" w:rsidR="00C935D8" w:rsidRDefault="008577D2" w:rsidP="00757ABE">
      <w:pPr>
        <w:jc w:val="both"/>
        <w:rPr>
          <w:rFonts w:ascii="Times New Roman" w:eastAsia="Times New Roman" w:hAnsi="Times New Roman" w:cs="Times New Roman"/>
          <w:color w:val="000000"/>
        </w:rPr>
      </w:pPr>
      <w:r>
        <w:rPr>
          <w:rFonts w:ascii="Times New Roman" w:eastAsia="Times New Roman" w:hAnsi="Times New Roman" w:cs="Times New Roman"/>
          <w:b/>
          <w:color w:val="000000"/>
        </w:rPr>
        <w:t>Figure S</w:t>
      </w:r>
      <w:r w:rsidR="00DB5937">
        <w:rPr>
          <w:rFonts w:ascii="Times New Roman" w:eastAsia="Times New Roman" w:hAnsi="Times New Roman" w:cs="Times New Roman"/>
          <w:b/>
          <w:color w:val="000000"/>
        </w:rPr>
        <w:t>13</w:t>
      </w:r>
      <w:r w:rsidR="00C935D8">
        <w:rPr>
          <w:rFonts w:ascii="Times New Roman" w:eastAsia="Times New Roman" w:hAnsi="Times New Roman" w:cs="Times New Roman"/>
          <w:b/>
          <w:color w:val="000000"/>
        </w:rPr>
        <w:t xml:space="preserve"> </w:t>
      </w:r>
      <w:r w:rsidR="00C935D8">
        <w:rPr>
          <w:rFonts w:ascii="Times New Roman" w:eastAsia="Times New Roman" w:hAnsi="Times New Roman" w:cs="Times New Roman"/>
          <w:color w:val="000000"/>
        </w:rPr>
        <w:t>Changes of accumulated immobilized nutrient and net nutrient inputs (area-weighted average) for natural biomes during 1850-2016 on global, north hemisphere (NH, 30</w:t>
      </w:r>
      <w:r w:rsidR="00C935D8">
        <w:rPr>
          <w:rFonts w:ascii="Times New Roman" w:eastAsia="Times New Roman" w:hAnsi="Times New Roman" w:cs="Times New Roman"/>
          <w:color w:val="000000"/>
          <w:vertAlign w:val="superscript"/>
        </w:rPr>
        <w:t>o</w:t>
      </w:r>
      <w:r w:rsidR="00C935D8">
        <w:rPr>
          <w:rFonts w:ascii="Times New Roman" w:eastAsia="Times New Roman" w:hAnsi="Times New Roman" w:cs="Times New Roman"/>
          <w:color w:val="000000"/>
        </w:rPr>
        <w:t>N~90</w:t>
      </w:r>
      <w:r w:rsidR="00C935D8">
        <w:rPr>
          <w:rFonts w:ascii="Times New Roman" w:eastAsia="Times New Roman" w:hAnsi="Times New Roman" w:cs="Times New Roman"/>
          <w:color w:val="000000"/>
          <w:vertAlign w:val="superscript"/>
        </w:rPr>
        <w:t>o</w:t>
      </w:r>
      <w:r w:rsidR="00C935D8">
        <w:rPr>
          <w:rFonts w:ascii="Times New Roman" w:eastAsia="Times New Roman" w:hAnsi="Times New Roman" w:cs="Times New Roman"/>
          <w:color w:val="000000"/>
        </w:rPr>
        <w:t>N) and tropical region (30</w:t>
      </w:r>
      <w:r w:rsidR="00C935D8">
        <w:rPr>
          <w:rFonts w:ascii="Times New Roman" w:eastAsia="Times New Roman" w:hAnsi="Times New Roman" w:cs="Times New Roman"/>
          <w:color w:val="000000"/>
          <w:vertAlign w:val="superscript"/>
        </w:rPr>
        <w:t>o</w:t>
      </w:r>
      <w:r w:rsidR="00C935D8">
        <w:rPr>
          <w:rFonts w:ascii="Times New Roman" w:eastAsia="Times New Roman" w:hAnsi="Times New Roman" w:cs="Times New Roman"/>
          <w:color w:val="000000"/>
        </w:rPr>
        <w:t>S~30</w:t>
      </w:r>
      <w:r w:rsidR="00C935D8">
        <w:rPr>
          <w:rFonts w:ascii="Times New Roman" w:eastAsia="Times New Roman" w:hAnsi="Times New Roman" w:cs="Times New Roman"/>
          <w:color w:val="000000"/>
          <w:vertAlign w:val="superscript"/>
        </w:rPr>
        <w:t>o</w:t>
      </w:r>
      <w:r w:rsidR="00C935D8">
        <w:rPr>
          <w:rFonts w:ascii="Times New Roman" w:eastAsia="Times New Roman" w:hAnsi="Times New Roman" w:cs="Times New Roman"/>
          <w:color w:val="000000"/>
        </w:rPr>
        <w:t>N).</w:t>
      </w:r>
    </w:p>
    <w:p w14:paraId="03EEF8E0" w14:textId="77777777" w:rsidR="00C935D8" w:rsidRDefault="00C935D8" w:rsidP="00C935D8">
      <w:pPr>
        <w:spacing w:line="360" w:lineRule="auto"/>
        <w:jc w:val="both"/>
        <w:rPr>
          <w:rFonts w:ascii="Times New Roman" w:eastAsia="Times New Roman" w:hAnsi="Times New Roman" w:cs="Times New Roman"/>
          <w:b/>
          <w:color w:val="000000"/>
        </w:rPr>
      </w:pPr>
      <w:r w:rsidRPr="00C13476">
        <w:rPr>
          <w:rFonts w:ascii="Times New Roman" w:eastAsia="Times New Roman" w:hAnsi="Times New Roman" w:cs="Times New Roman"/>
          <w:b/>
          <w:noProof/>
          <w:color w:val="000000"/>
        </w:rPr>
        <w:lastRenderedPageBreak/>
        <w:drawing>
          <wp:inline distT="0" distB="0" distL="0" distR="0" wp14:anchorId="6086F2E5" wp14:editId="34213746">
            <wp:extent cx="5727700" cy="5257165"/>
            <wp:effectExtent l="0" t="0" r="12700" b="635"/>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5"/>
                    <a:stretch>
                      <a:fillRect/>
                    </a:stretch>
                  </pic:blipFill>
                  <pic:spPr>
                    <a:xfrm>
                      <a:off x="0" y="0"/>
                      <a:ext cx="5727700" cy="5257165"/>
                    </a:xfrm>
                    <a:prstGeom prst="rect">
                      <a:avLst/>
                    </a:prstGeom>
                  </pic:spPr>
                </pic:pic>
              </a:graphicData>
            </a:graphic>
          </wp:inline>
        </w:drawing>
      </w:r>
    </w:p>
    <w:p w14:paraId="01CE68B2" w14:textId="1AAC0313" w:rsidR="00C935D8" w:rsidRDefault="00DB5937" w:rsidP="00757ABE">
      <w:pPr>
        <w:jc w:val="both"/>
        <w:rPr>
          <w:rFonts w:ascii="Times New Roman" w:eastAsia="Times New Roman" w:hAnsi="Times New Roman" w:cs="Times New Roman"/>
          <w:color w:val="000000"/>
        </w:rPr>
      </w:pPr>
      <w:r>
        <w:rPr>
          <w:rFonts w:ascii="Times New Roman" w:eastAsia="Times New Roman" w:hAnsi="Times New Roman" w:cs="Times New Roman"/>
          <w:b/>
          <w:color w:val="000000"/>
        </w:rPr>
        <w:t>Figure S14</w:t>
      </w:r>
      <w:r w:rsidR="00C935D8">
        <w:rPr>
          <w:rFonts w:ascii="Times New Roman" w:eastAsia="Times New Roman" w:hAnsi="Times New Roman" w:cs="Times New Roman"/>
          <w:b/>
          <w:color w:val="000000"/>
        </w:rPr>
        <w:t xml:space="preserve"> </w:t>
      </w:r>
      <w:r w:rsidR="00C935D8">
        <w:rPr>
          <w:rFonts w:ascii="Times New Roman" w:eastAsia="Times New Roman" w:hAnsi="Times New Roman" w:cs="Times New Roman"/>
          <w:color w:val="000000"/>
        </w:rPr>
        <w:t>Accumulated immobilized nutrient, net nutrient inputs and deficit during 1850-2016 for N (a, b, c) and P (d, e, f). Grids dominated with managed biomes (cropland and pasture) (area fraction&gt;50% in 2016) are masked.</w:t>
      </w:r>
    </w:p>
    <w:p w14:paraId="69B475DB" w14:textId="77777777" w:rsidR="00DD54D0" w:rsidRDefault="00DD54D0" w:rsidP="00C935D8">
      <w:pPr>
        <w:spacing w:line="360" w:lineRule="auto"/>
        <w:jc w:val="both"/>
        <w:rPr>
          <w:rFonts w:ascii="Times New Roman" w:eastAsia="Times New Roman" w:hAnsi="Times New Roman" w:cs="Times New Roman"/>
          <w:color w:val="000000"/>
        </w:rPr>
      </w:pPr>
    </w:p>
    <w:p w14:paraId="4C2511AB" w14:textId="77777777" w:rsidR="00DD54D0" w:rsidRDefault="00DD54D0" w:rsidP="00DD54D0">
      <w:pPr>
        <w:spacing w:line="360" w:lineRule="auto"/>
        <w:jc w:val="both"/>
        <w:rPr>
          <w:rFonts w:ascii="Times New Roman" w:eastAsia="Times New Roman" w:hAnsi="Times New Roman" w:cs="Times New Roman"/>
          <w:b/>
          <w:color w:val="000000"/>
        </w:rPr>
      </w:pPr>
      <w:r>
        <w:rPr>
          <w:noProof/>
        </w:rPr>
        <w:lastRenderedPageBreak/>
        <w:drawing>
          <wp:inline distT="0" distB="0" distL="0" distR="0" wp14:anchorId="1BD0D704" wp14:editId="35D5877A">
            <wp:extent cx="5727700" cy="3920062"/>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Figure14_NP_Budgetss.pdf"/>
                    <pic:cNvPicPr/>
                  </pic:nvPicPr>
                  <pic:blipFill>
                    <a:blip r:embed="rId26">
                      <a:extLst>
                        <a:ext uri="{28A0092B-C50C-407E-A947-70E740481C1C}">
                          <a14:useLocalDpi xmlns:a14="http://schemas.microsoft.com/office/drawing/2010/main" val="0"/>
                        </a:ext>
                      </a:extLst>
                    </a:blip>
                    <a:stretch>
                      <a:fillRect/>
                    </a:stretch>
                  </pic:blipFill>
                  <pic:spPr>
                    <a:xfrm>
                      <a:off x="0" y="0"/>
                      <a:ext cx="5727700" cy="3920062"/>
                    </a:xfrm>
                    <a:prstGeom prst="rect">
                      <a:avLst/>
                    </a:prstGeom>
                  </pic:spPr>
                </pic:pic>
              </a:graphicData>
            </a:graphic>
          </wp:inline>
        </w:drawing>
      </w:r>
    </w:p>
    <w:p w14:paraId="45239893" w14:textId="77777777" w:rsidR="00DD54D0" w:rsidRDefault="00DD54D0" w:rsidP="00DD54D0">
      <w:pPr>
        <w:spacing w:line="360" w:lineRule="auto"/>
        <w:jc w:val="both"/>
        <w:rPr>
          <w:rFonts w:ascii="Times New Roman" w:eastAsia="Times New Roman" w:hAnsi="Times New Roman" w:cs="Times New Roman"/>
          <w:b/>
          <w:color w:val="000000"/>
        </w:rPr>
      </w:pPr>
    </w:p>
    <w:p w14:paraId="01A115E0" w14:textId="34353CE6" w:rsidR="00DD54D0" w:rsidRPr="00F9292B" w:rsidRDefault="00DD54D0" w:rsidP="00DD54D0">
      <w:pPr>
        <w:pStyle w:val="Caption"/>
        <w:rPr>
          <w:b w:val="0"/>
          <w:sz w:val="24"/>
          <w:szCs w:val="24"/>
          <w:highlight w:val="yellow"/>
        </w:rPr>
      </w:pPr>
      <w:r w:rsidRPr="00DB5937">
        <w:rPr>
          <w:sz w:val="24"/>
          <w:szCs w:val="24"/>
        </w:rPr>
        <w:t>Figure S1</w:t>
      </w:r>
      <w:r>
        <w:rPr>
          <w:sz w:val="24"/>
          <w:szCs w:val="24"/>
        </w:rPr>
        <w:t>5</w:t>
      </w:r>
      <w:r w:rsidRPr="00F9292B">
        <w:rPr>
          <w:b w:val="0"/>
          <w:sz w:val="24"/>
          <w:szCs w:val="24"/>
        </w:rPr>
        <w:t xml:space="preserve"> Total N and P budgets for each biome. Error bars indicate the standard deviation over 2002-2010. TREB: tropical evergreen broadleaf forest; TRDB: tropical deciduous broadleaf forest; TEEN: temperate evergreen conifer forest; TEEB: temperate evergreen broadleaf forest; TEDB: temperate deciduous broadleaf forest; BEN: boreal evergreen conifer forest; BDN: boreal deciduous conifer forest; C3G: C3 grassland; C4G: C4 grassland; C3P: C3 pasture; C4P: C4 pasture; C3C: C3 cropland; C4C: C4 cropland.</w:t>
      </w:r>
    </w:p>
    <w:p w14:paraId="4B1A5469" w14:textId="77777777" w:rsidR="00DD54D0" w:rsidRDefault="00DD54D0" w:rsidP="00C935D8">
      <w:pPr>
        <w:spacing w:line="360" w:lineRule="auto"/>
        <w:jc w:val="both"/>
        <w:rPr>
          <w:rFonts w:ascii="Times New Roman" w:eastAsia="Times New Roman" w:hAnsi="Times New Roman" w:cs="Times New Roman"/>
          <w:color w:val="000000"/>
        </w:rPr>
      </w:pPr>
    </w:p>
    <w:p w14:paraId="13660A71" w14:textId="4CAB3D7C" w:rsidR="00C81284" w:rsidRDefault="00C81284">
      <w:pPr>
        <w:rPr>
          <w:rFonts w:ascii="Times New Roman" w:eastAsia="Times New Roman" w:hAnsi="Times New Roman" w:cs="Times New Roman"/>
          <w:b/>
          <w:color w:val="000000"/>
        </w:rPr>
      </w:pPr>
    </w:p>
    <w:p w14:paraId="60628CDF" w14:textId="77777777" w:rsidR="00981695" w:rsidRDefault="00981695" w:rsidP="00386A6E">
      <w:pPr>
        <w:spacing w:line="360" w:lineRule="auto"/>
        <w:jc w:val="both"/>
        <w:rPr>
          <w:rFonts w:ascii="Times New Roman" w:eastAsia="Times New Roman" w:hAnsi="Times New Roman" w:cs="Times New Roman"/>
          <w:b/>
          <w:color w:val="000000"/>
        </w:rPr>
      </w:pPr>
    </w:p>
    <w:p w14:paraId="0E17DC1A" w14:textId="28927AD8" w:rsidR="00943158" w:rsidRDefault="00651583" w:rsidP="00E57569">
      <w:pPr>
        <w:spacing w:line="360" w:lineRule="auto"/>
        <w:jc w:val="center"/>
        <w:rPr>
          <w:rFonts w:ascii="Times New Roman" w:eastAsia="Times New Roman" w:hAnsi="Times New Roman" w:cs="Times New Roman"/>
          <w:b/>
          <w:color w:val="000000"/>
        </w:rPr>
      </w:pPr>
      <w:r>
        <w:rPr>
          <w:rFonts w:ascii="Times New Roman" w:eastAsia="Times New Roman" w:hAnsi="Times New Roman" w:cs="Times New Roman"/>
          <w:b/>
          <w:noProof/>
          <w:color w:val="000000"/>
        </w:rPr>
        <w:lastRenderedPageBreak/>
        <w:drawing>
          <wp:inline distT="0" distB="0" distL="0" distR="0" wp14:anchorId="24486425" wp14:editId="261902F0">
            <wp:extent cx="3025588" cy="323372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figure_legend.tif"/>
                    <pic:cNvPicPr/>
                  </pic:nvPicPr>
                  <pic:blipFill rotWithShape="1">
                    <a:blip r:embed="rId27">
                      <a:extLst>
                        <a:ext uri="{28A0092B-C50C-407E-A947-70E740481C1C}">
                          <a14:useLocalDpi xmlns:a14="http://schemas.microsoft.com/office/drawing/2010/main" val="0"/>
                        </a:ext>
                      </a:extLst>
                    </a:blip>
                    <a:srcRect t="24726" r="47170"/>
                    <a:stretch/>
                  </pic:blipFill>
                  <pic:spPr bwMode="auto">
                    <a:xfrm>
                      <a:off x="0" y="0"/>
                      <a:ext cx="3025936" cy="3234092"/>
                    </a:xfrm>
                    <a:prstGeom prst="rect">
                      <a:avLst/>
                    </a:prstGeom>
                    <a:ln>
                      <a:noFill/>
                    </a:ln>
                    <a:extLst>
                      <a:ext uri="{53640926-AAD7-44D8-BBD7-CCE9431645EC}">
                        <a14:shadowObscured xmlns:a14="http://schemas.microsoft.com/office/drawing/2010/main"/>
                      </a:ext>
                    </a:extLst>
                  </pic:spPr>
                </pic:pic>
              </a:graphicData>
            </a:graphic>
          </wp:inline>
        </w:drawing>
      </w:r>
    </w:p>
    <w:p w14:paraId="6B5BFF8A" w14:textId="4669E816" w:rsidR="00345528" w:rsidRDefault="008577D2" w:rsidP="00345528">
      <w:pPr>
        <w:pStyle w:val="Caption"/>
        <w:rPr>
          <w:b w:val="0"/>
          <w:sz w:val="24"/>
          <w:szCs w:val="24"/>
          <w:lang w:val="en-US"/>
        </w:rPr>
      </w:pPr>
      <w:r w:rsidRPr="00DB5937">
        <w:rPr>
          <w:sz w:val="24"/>
          <w:szCs w:val="24"/>
        </w:rPr>
        <w:t xml:space="preserve">Figure </w:t>
      </w:r>
      <w:r w:rsidR="00D67360" w:rsidRPr="00DB5937">
        <w:rPr>
          <w:sz w:val="24"/>
          <w:szCs w:val="24"/>
        </w:rPr>
        <w:t>S</w:t>
      </w:r>
      <w:r w:rsidR="00DB5937" w:rsidRPr="00DB5937">
        <w:rPr>
          <w:sz w:val="24"/>
          <w:szCs w:val="24"/>
        </w:rPr>
        <w:t>1</w:t>
      </w:r>
      <w:r w:rsidR="00E5717F">
        <w:rPr>
          <w:sz w:val="24"/>
          <w:szCs w:val="24"/>
        </w:rPr>
        <w:t>6</w:t>
      </w:r>
      <w:r w:rsidR="00345528" w:rsidRPr="00A10CE1">
        <w:rPr>
          <w:b w:val="0"/>
          <w:sz w:val="24"/>
          <w:szCs w:val="24"/>
        </w:rPr>
        <w:t xml:space="preserve"> </w:t>
      </w:r>
      <w:r w:rsidR="00345528" w:rsidRPr="00A10CE1">
        <w:rPr>
          <w:b w:val="0"/>
          <w:sz w:val="24"/>
          <w:szCs w:val="24"/>
          <w:lang w:val="en-US"/>
        </w:rPr>
        <w:t xml:space="preserve">Global BNF and tropical forest BNF simulated by ORCHIDEE-CNP, BNF model A by Peng et al. (2019), and revising BNF model B (Cleveland et al., 1999) and C (Wang and Houlton, 2009) based on plot-level measurements in tropical forests by Sullivan et al. (2014) (grey box). </w:t>
      </w:r>
    </w:p>
    <w:p w14:paraId="44637AA8" w14:textId="655D318C" w:rsidR="00D5081F" w:rsidRDefault="00D5081F">
      <w:pPr>
        <w:rPr>
          <w:rFonts w:ascii="Times New Roman" w:eastAsia="Times New Roman" w:hAnsi="Times New Roman" w:cs="Times New Roman"/>
          <w:b/>
          <w:color w:val="000000"/>
        </w:rPr>
      </w:pPr>
      <w:r>
        <w:rPr>
          <w:rFonts w:ascii="Times New Roman" w:eastAsia="Times New Roman" w:hAnsi="Times New Roman" w:cs="Times New Roman"/>
          <w:b/>
          <w:color w:val="000000"/>
        </w:rPr>
        <w:br w:type="page"/>
      </w:r>
    </w:p>
    <w:p w14:paraId="4342BDB9" w14:textId="72753154" w:rsidR="00943158" w:rsidRDefault="00D5081F" w:rsidP="00386A6E">
      <w:pPr>
        <w:spacing w:line="360" w:lineRule="auto"/>
        <w:jc w:val="both"/>
        <w:rPr>
          <w:rFonts w:ascii="Times New Roman" w:eastAsia="Times New Roman" w:hAnsi="Times New Roman" w:cs="Times New Roman"/>
          <w:b/>
          <w:color w:val="000000"/>
        </w:rPr>
      </w:pPr>
      <w:r>
        <w:rPr>
          <w:noProof/>
        </w:rPr>
        <w:lastRenderedPageBreak/>
        <w:drawing>
          <wp:inline distT="0" distB="0" distL="0" distR="0" wp14:anchorId="14F25C87" wp14:editId="225526B4">
            <wp:extent cx="5727700" cy="343941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gure11_basin copy.pdf"/>
                    <pic:cNvPicPr/>
                  </pic:nvPicPr>
                  <pic:blipFill>
                    <a:blip r:embed="rId28">
                      <a:extLst>
                        <a:ext uri="{28A0092B-C50C-407E-A947-70E740481C1C}">
                          <a14:useLocalDpi xmlns:a14="http://schemas.microsoft.com/office/drawing/2010/main" val="0"/>
                        </a:ext>
                      </a:extLst>
                    </a:blip>
                    <a:stretch>
                      <a:fillRect/>
                    </a:stretch>
                  </pic:blipFill>
                  <pic:spPr>
                    <a:xfrm>
                      <a:off x="0" y="0"/>
                      <a:ext cx="5727700" cy="3439412"/>
                    </a:xfrm>
                    <a:prstGeom prst="rect">
                      <a:avLst/>
                    </a:prstGeom>
                  </pic:spPr>
                </pic:pic>
              </a:graphicData>
            </a:graphic>
          </wp:inline>
        </w:drawing>
      </w:r>
    </w:p>
    <w:p w14:paraId="37655520" w14:textId="77777777" w:rsidR="00943158" w:rsidRDefault="00943158" w:rsidP="00386A6E">
      <w:pPr>
        <w:spacing w:line="360" w:lineRule="auto"/>
        <w:jc w:val="both"/>
        <w:rPr>
          <w:rFonts w:ascii="Times New Roman" w:eastAsia="Times New Roman" w:hAnsi="Times New Roman" w:cs="Times New Roman"/>
          <w:b/>
          <w:color w:val="000000"/>
        </w:rPr>
      </w:pPr>
    </w:p>
    <w:p w14:paraId="4CDD943B" w14:textId="672DF397" w:rsidR="00D5081F" w:rsidRPr="00A10CE1" w:rsidRDefault="008577D2" w:rsidP="00D5081F">
      <w:pPr>
        <w:pStyle w:val="Caption"/>
        <w:rPr>
          <w:b w:val="0"/>
          <w:sz w:val="24"/>
          <w:szCs w:val="24"/>
          <w:highlight w:val="yellow"/>
        </w:rPr>
      </w:pPr>
      <w:r w:rsidRPr="00DB5937">
        <w:rPr>
          <w:sz w:val="24"/>
          <w:szCs w:val="24"/>
        </w:rPr>
        <w:t xml:space="preserve">Figure </w:t>
      </w:r>
      <w:r w:rsidR="00D67360" w:rsidRPr="00DB5937">
        <w:rPr>
          <w:sz w:val="24"/>
          <w:szCs w:val="24"/>
        </w:rPr>
        <w:t>S</w:t>
      </w:r>
      <w:r w:rsidR="00DB5937" w:rsidRPr="00DB5937">
        <w:rPr>
          <w:sz w:val="24"/>
          <w:szCs w:val="24"/>
        </w:rPr>
        <w:t>1</w:t>
      </w:r>
      <w:r w:rsidR="00E5717F">
        <w:rPr>
          <w:sz w:val="24"/>
          <w:szCs w:val="24"/>
        </w:rPr>
        <w:t>7</w:t>
      </w:r>
      <w:r w:rsidR="00D5081F" w:rsidRPr="00A10CE1">
        <w:rPr>
          <w:b w:val="0"/>
          <w:sz w:val="24"/>
          <w:szCs w:val="24"/>
        </w:rPr>
        <w:t xml:space="preserve"> Global pattern of N (N</w:t>
      </w:r>
      <w:r w:rsidR="00D5081F" w:rsidRPr="00A10CE1">
        <w:rPr>
          <w:b w:val="0"/>
          <w:sz w:val="24"/>
          <w:szCs w:val="24"/>
          <w:vertAlign w:val="subscript"/>
        </w:rPr>
        <w:t>load</w:t>
      </w:r>
      <w:r w:rsidR="00D5081F" w:rsidRPr="00A10CE1">
        <w:rPr>
          <w:b w:val="0"/>
          <w:sz w:val="24"/>
          <w:szCs w:val="24"/>
        </w:rPr>
        <w:t>, a-c) and P loads (P</w:t>
      </w:r>
      <w:r w:rsidR="00D5081F" w:rsidRPr="00A10CE1">
        <w:rPr>
          <w:b w:val="0"/>
          <w:sz w:val="24"/>
          <w:szCs w:val="24"/>
          <w:vertAlign w:val="subscript"/>
        </w:rPr>
        <w:t>load</w:t>
      </w:r>
      <w:r w:rsidR="00D5081F" w:rsidRPr="00A10CE1">
        <w:rPr>
          <w:b w:val="0"/>
          <w:sz w:val="24"/>
          <w:szCs w:val="24"/>
        </w:rPr>
        <w:t>, d-f) from land to rivers for basins with area larger than 50,000 km</w:t>
      </w:r>
      <w:r w:rsidR="00D5081F" w:rsidRPr="00A10CE1">
        <w:rPr>
          <w:b w:val="0"/>
          <w:sz w:val="24"/>
          <w:szCs w:val="24"/>
          <w:vertAlign w:val="superscript"/>
        </w:rPr>
        <w:t>2</w:t>
      </w:r>
      <w:r w:rsidR="00D5081F" w:rsidRPr="00A10CE1">
        <w:rPr>
          <w:b w:val="0"/>
          <w:sz w:val="24"/>
          <w:szCs w:val="24"/>
        </w:rPr>
        <w:t>. (c) and (f) show the comparisons of N and P leaching between ORCHIDEE-CNP and GlobalNEWS2 (</w:t>
      </w:r>
      <w:r w:rsidR="00D5081F" w:rsidRPr="00A10CE1">
        <w:rPr>
          <w:b w:val="0"/>
          <w:color w:val="000000"/>
          <w:sz w:val="24"/>
          <w:szCs w:val="24"/>
        </w:rPr>
        <w:t>Mayorga et al., 2010)</w:t>
      </w:r>
      <w:r w:rsidR="00D5081F" w:rsidRPr="00A10CE1">
        <w:rPr>
          <w:b w:val="0"/>
          <w:sz w:val="24"/>
          <w:szCs w:val="24"/>
        </w:rPr>
        <w:t>. Black line indicates 1:1 line. Pink dashed line indicates the linear regression line for basins with fertilized basin (N fertilization higher 1 gNm</w:t>
      </w:r>
      <w:r w:rsidR="00D5081F" w:rsidRPr="00A10CE1">
        <w:rPr>
          <w:b w:val="0"/>
          <w:sz w:val="24"/>
          <w:szCs w:val="24"/>
          <w:vertAlign w:val="superscript"/>
        </w:rPr>
        <w:t>-2</w:t>
      </w:r>
      <w:r w:rsidR="00D5081F" w:rsidRPr="00A10CE1">
        <w:rPr>
          <w:b w:val="0"/>
          <w:sz w:val="24"/>
          <w:szCs w:val="24"/>
        </w:rPr>
        <w:t>yr</w:t>
      </w:r>
      <w:r w:rsidR="00D5081F" w:rsidRPr="00A10CE1">
        <w:rPr>
          <w:b w:val="0"/>
          <w:sz w:val="24"/>
          <w:szCs w:val="24"/>
          <w:vertAlign w:val="superscript"/>
        </w:rPr>
        <w:t>-1</w:t>
      </w:r>
      <w:r w:rsidR="00D5081F" w:rsidRPr="00A10CE1">
        <w:rPr>
          <w:b w:val="0"/>
          <w:sz w:val="24"/>
          <w:szCs w:val="24"/>
        </w:rPr>
        <w:t xml:space="preserve"> or P fertilization higher than 0.5 g Pm</w:t>
      </w:r>
      <w:r w:rsidR="00D5081F" w:rsidRPr="00A10CE1">
        <w:rPr>
          <w:b w:val="0"/>
          <w:sz w:val="24"/>
          <w:szCs w:val="24"/>
          <w:vertAlign w:val="superscript"/>
        </w:rPr>
        <w:t>-2</w:t>
      </w:r>
      <w:r w:rsidR="00D5081F" w:rsidRPr="00A10CE1">
        <w:rPr>
          <w:b w:val="0"/>
          <w:sz w:val="24"/>
          <w:szCs w:val="24"/>
        </w:rPr>
        <w:t>yr</w:t>
      </w:r>
      <w:r w:rsidR="00D5081F" w:rsidRPr="00A10CE1">
        <w:rPr>
          <w:b w:val="0"/>
          <w:sz w:val="24"/>
          <w:szCs w:val="24"/>
          <w:vertAlign w:val="superscript"/>
        </w:rPr>
        <w:t>-1</w:t>
      </w:r>
      <w:r w:rsidR="00D5081F" w:rsidRPr="00A10CE1">
        <w:rPr>
          <w:b w:val="0"/>
          <w:sz w:val="24"/>
          <w:szCs w:val="24"/>
        </w:rPr>
        <w:t>), while grey dashed line indicates the linear regression line for basins with natural basin (N fertilization lower 1 gNm</w:t>
      </w:r>
      <w:r w:rsidR="00D5081F" w:rsidRPr="00A10CE1">
        <w:rPr>
          <w:b w:val="0"/>
          <w:sz w:val="24"/>
          <w:szCs w:val="24"/>
          <w:vertAlign w:val="superscript"/>
        </w:rPr>
        <w:t>-2</w:t>
      </w:r>
      <w:r w:rsidR="00D5081F" w:rsidRPr="00A10CE1">
        <w:rPr>
          <w:b w:val="0"/>
          <w:sz w:val="24"/>
          <w:szCs w:val="24"/>
        </w:rPr>
        <w:t>yr</w:t>
      </w:r>
      <w:r w:rsidR="00D5081F" w:rsidRPr="00A10CE1">
        <w:rPr>
          <w:b w:val="0"/>
          <w:sz w:val="24"/>
          <w:szCs w:val="24"/>
          <w:vertAlign w:val="superscript"/>
        </w:rPr>
        <w:t>-1</w:t>
      </w:r>
      <w:r w:rsidR="00D5081F" w:rsidRPr="00A10CE1">
        <w:rPr>
          <w:b w:val="0"/>
          <w:sz w:val="24"/>
          <w:szCs w:val="24"/>
        </w:rPr>
        <w:t xml:space="preserve"> or P fertilization lower than 0.5 g Pm</w:t>
      </w:r>
      <w:r w:rsidR="00D5081F" w:rsidRPr="00A10CE1">
        <w:rPr>
          <w:b w:val="0"/>
          <w:sz w:val="24"/>
          <w:szCs w:val="24"/>
          <w:vertAlign w:val="superscript"/>
        </w:rPr>
        <w:t>-2</w:t>
      </w:r>
      <w:r w:rsidR="00D5081F" w:rsidRPr="00A10CE1">
        <w:rPr>
          <w:b w:val="0"/>
          <w:sz w:val="24"/>
          <w:szCs w:val="24"/>
        </w:rPr>
        <w:t>yr</w:t>
      </w:r>
      <w:r w:rsidR="00D5081F" w:rsidRPr="00A10CE1">
        <w:rPr>
          <w:b w:val="0"/>
          <w:sz w:val="24"/>
          <w:szCs w:val="24"/>
          <w:vertAlign w:val="superscript"/>
        </w:rPr>
        <w:t>-1</w:t>
      </w:r>
      <w:r w:rsidR="00D5081F" w:rsidRPr="00A10CE1">
        <w:rPr>
          <w:b w:val="0"/>
          <w:sz w:val="24"/>
          <w:szCs w:val="24"/>
        </w:rPr>
        <w:t>). Black dashed lines indicate the linear regression line for all basins. R</w:t>
      </w:r>
      <w:r w:rsidR="00D5081F" w:rsidRPr="00A10CE1">
        <w:rPr>
          <w:b w:val="0"/>
          <w:sz w:val="24"/>
          <w:szCs w:val="24"/>
          <w:vertAlign w:val="superscript"/>
        </w:rPr>
        <w:t>2</w:t>
      </w:r>
      <w:r w:rsidR="00D5081F" w:rsidRPr="00A10CE1">
        <w:rPr>
          <w:b w:val="0"/>
          <w:sz w:val="24"/>
          <w:szCs w:val="24"/>
        </w:rPr>
        <w:t xml:space="preserve"> and RMSE refer to the coefficient of determination and root-mean-square error between estimations of ORCHIDEE-CNP and estimates from GlobalNEWS2 (</w:t>
      </w:r>
      <w:r w:rsidR="00D5081F" w:rsidRPr="00A10CE1">
        <w:rPr>
          <w:b w:val="0"/>
          <w:color w:val="000000"/>
          <w:sz w:val="24"/>
          <w:szCs w:val="24"/>
        </w:rPr>
        <w:t>Mayorga et al., 2010)</w:t>
      </w:r>
      <w:r w:rsidR="00D5081F" w:rsidRPr="00A10CE1">
        <w:rPr>
          <w:b w:val="0"/>
          <w:sz w:val="24"/>
          <w:szCs w:val="24"/>
        </w:rPr>
        <w:t xml:space="preserve"> for all basins.</w:t>
      </w:r>
    </w:p>
    <w:p w14:paraId="3D6F83B3" w14:textId="5073B0AE" w:rsidR="00C13476" w:rsidRPr="00F42401" w:rsidRDefault="00C13476">
      <w:pPr>
        <w:rPr>
          <w:rFonts w:ascii="Times New Roman" w:eastAsia="Times New Roman" w:hAnsi="Times New Roman" w:cs="Times New Roman"/>
          <w:b/>
          <w:color w:val="000000"/>
        </w:rPr>
      </w:pPr>
      <w:r>
        <w:rPr>
          <w:rFonts w:ascii="Times New Roman" w:eastAsia="Times New Roman" w:hAnsi="Times New Roman" w:cs="Times New Roman"/>
          <w:b/>
          <w:color w:val="000000"/>
        </w:rPr>
        <w:br w:type="page"/>
      </w:r>
    </w:p>
    <w:p w14:paraId="259E41B6" w14:textId="5A57AA42" w:rsidR="00C13476" w:rsidRDefault="00C13476">
      <w:pPr>
        <w:rPr>
          <w:rFonts w:ascii="Times New Roman" w:eastAsia="Times New Roman" w:hAnsi="Times New Roman" w:cs="Times New Roman"/>
          <w:b/>
          <w:color w:val="000000"/>
        </w:rPr>
      </w:pPr>
    </w:p>
    <w:p w14:paraId="434BA115" w14:textId="776915EA" w:rsidR="00C13476" w:rsidRDefault="00EB2A27" w:rsidP="00386A6E">
      <w:pPr>
        <w:spacing w:before="120" w:line="360" w:lineRule="auto"/>
        <w:jc w:val="both"/>
        <w:rPr>
          <w:rFonts w:ascii="Times New Roman" w:eastAsia="Times New Roman" w:hAnsi="Times New Roman" w:cs="Times New Roman"/>
          <w:b/>
          <w:color w:val="000000"/>
        </w:rPr>
      </w:pPr>
      <w:r>
        <w:rPr>
          <w:rFonts w:ascii="Times New Roman" w:eastAsia="Times New Roman" w:hAnsi="Times New Roman" w:cs="Times New Roman"/>
          <w:b/>
          <w:noProof/>
          <w:color w:val="000000"/>
        </w:rPr>
        <w:drawing>
          <wp:inline distT="0" distB="0" distL="0" distR="0" wp14:anchorId="60F81E32" wp14:editId="3323971E">
            <wp:extent cx="5719445" cy="1866265"/>
            <wp:effectExtent l="0" t="0" r="0" b="0"/>
            <wp:docPr id="35" name="Picture 35" descr="Code_for_Matlab/Global_Eval/Figures/FigureS10.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de_for_Matlab/Global_Eval/Figures/FigureS10.pd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19445" cy="1866265"/>
                    </a:xfrm>
                    <a:prstGeom prst="rect">
                      <a:avLst/>
                    </a:prstGeom>
                    <a:noFill/>
                    <a:ln>
                      <a:noFill/>
                    </a:ln>
                  </pic:spPr>
                </pic:pic>
              </a:graphicData>
            </a:graphic>
          </wp:inline>
        </w:drawing>
      </w:r>
    </w:p>
    <w:p w14:paraId="5DDB91B6" w14:textId="69DC562F" w:rsidR="00386A6E" w:rsidRDefault="009C0F8E" w:rsidP="00757ABE">
      <w:pPr>
        <w:spacing w:before="120"/>
        <w:jc w:val="both"/>
        <w:rPr>
          <w:rFonts w:ascii="Times New Roman" w:eastAsia="Times New Roman" w:hAnsi="Times New Roman" w:cs="Times New Roman"/>
        </w:rPr>
      </w:pPr>
      <w:r>
        <w:rPr>
          <w:rFonts w:ascii="Times New Roman" w:eastAsia="Times New Roman" w:hAnsi="Times New Roman" w:cs="Times New Roman"/>
          <w:b/>
          <w:color w:val="000000"/>
        </w:rPr>
        <w:t>Figure S18</w:t>
      </w:r>
      <w:r w:rsidR="00386A6E">
        <w:rPr>
          <w:rFonts w:ascii="Times New Roman" w:eastAsia="Times New Roman" w:hAnsi="Times New Roman" w:cs="Times New Roman"/>
          <w:b/>
          <w:color w:val="000000"/>
        </w:rPr>
        <w:t xml:space="preserve"> </w:t>
      </w:r>
      <w:r w:rsidR="00386A6E">
        <w:rPr>
          <w:rFonts w:ascii="Times New Roman" w:eastAsia="Times New Roman" w:hAnsi="Times New Roman" w:cs="Times New Roman"/>
        </w:rPr>
        <w:t xml:space="preserve">Global pattern of </w:t>
      </w:r>
      <w:r w:rsidR="0013774F">
        <w:rPr>
          <w:rFonts w:ascii="Times New Roman" w:eastAsia="Times New Roman" w:hAnsi="Times New Roman" w:cs="Times New Roman"/>
        </w:rPr>
        <w:t>N and P load rates from land to river (</w:t>
      </w:r>
      <w:r w:rsidR="00386A6E">
        <w:rPr>
          <w:rFonts w:ascii="Times New Roman" w:eastAsia="Times New Roman" w:hAnsi="Times New Roman" w:cs="Times New Roman"/>
        </w:rPr>
        <w:t>N</w:t>
      </w:r>
      <w:r w:rsidR="00A94137" w:rsidRPr="00A94137">
        <w:rPr>
          <w:rFonts w:ascii="Times New Roman" w:eastAsia="Times New Roman" w:hAnsi="Times New Roman" w:cs="Times New Roman"/>
          <w:vertAlign w:val="subscript"/>
        </w:rPr>
        <w:t>load</w:t>
      </w:r>
      <w:r w:rsidR="00A94137">
        <w:rPr>
          <w:rFonts w:ascii="Times New Roman" w:eastAsia="Times New Roman" w:hAnsi="Times New Roman" w:cs="Times New Roman"/>
        </w:rPr>
        <w:t xml:space="preserve"> and P</w:t>
      </w:r>
      <w:r w:rsidR="00A94137" w:rsidRPr="00A94137">
        <w:rPr>
          <w:rFonts w:ascii="Times New Roman" w:eastAsia="Times New Roman" w:hAnsi="Times New Roman" w:cs="Times New Roman"/>
          <w:vertAlign w:val="subscript"/>
        </w:rPr>
        <w:t>load</w:t>
      </w:r>
      <w:r w:rsidR="0013774F">
        <w:rPr>
          <w:rFonts w:ascii="Times New Roman" w:eastAsia="Times New Roman" w:hAnsi="Times New Roman" w:cs="Times New Roman"/>
        </w:rPr>
        <w:t xml:space="preserve">) on catchment scale </w:t>
      </w:r>
      <w:r w:rsidR="00386A6E">
        <w:rPr>
          <w:rFonts w:ascii="Times New Roman" w:eastAsia="Times New Roman" w:hAnsi="Times New Roman" w:cs="Times New Roman"/>
        </w:rPr>
        <w:t xml:space="preserve">for ORCHIDEE-CNP and </w:t>
      </w:r>
      <w:r w:rsidR="00A94137">
        <w:rPr>
          <w:rFonts w:ascii="Times New Roman" w:eastAsia="Times New Roman" w:hAnsi="Times New Roman" w:cs="Times New Roman"/>
        </w:rPr>
        <w:t xml:space="preserve">GlobalNEWS2 model </w:t>
      </w:r>
      <w:r w:rsidR="00386A6E">
        <w:rPr>
          <w:rFonts w:ascii="Times New Roman" w:eastAsia="Times New Roman" w:hAnsi="Times New Roman" w:cs="Times New Roman"/>
        </w:rPr>
        <w:t>for basins with area larger than 50,000 km</w:t>
      </w:r>
      <w:r w:rsidR="00386A6E">
        <w:rPr>
          <w:rFonts w:ascii="Times New Roman" w:eastAsia="Times New Roman" w:hAnsi="Times New Roman" w:cs="Times New Roman"/>
          <w:vertAlign w:val="superscript"/>
        </w:rPr>
        <w:t>2</w:t>
      </w:r>
      <w:r w:rsidR="00386A6E">
        <w:rPr>
          <w:rFonts w:ascii="Times New Roman" w:eastAsia="Times New Roman" w:hAnsi="Times New Roman" w:cs="Times New Roman"/>
        </w:rPr>
        <w:t xml:space="preserve">. (c) and (f) show the comparisons of </w:t>
      </w:r>
      <w:r w:rsidR="007426D9">
        <w:rPr>
          <w:rFonts w:ascii="Times New Roman" w:eastAsia="Times New Roman" w:hAnsi="Times New Roman" w:cs="Times New Roman"/>
        </w:rPr>
        <w:t>N</w:t>
      </w:r>
      <w:r w:rsidR="007426D9" w:rsidRPr="00A94137">
        <w:rPr>
          <w:rFonts w:ascii="Times New Roman" w:eastAsia="Times New Roman" w:hAnsi="Times New Roman" w:cs="Times New Roman"/>
          <w:vertAlign w:val="subscript"/>
        </w:rPr>
        <w:t>load</w:t>
      </w:r>
      <w:r w:rsidR="007426D9">
        <w:rPr>
          <w:rFonts w:ascii="Times New Roman" w:eastAsia="Times New Roman" w:hAnsi="Times New Roman" w:cs="Times New Roman"/>
        </w:rPr>
        <w:t xml:space="preserve"> and P</w:t>
      </w:r>
      <w:r w:rsidR="007426D9" w:rsidRPr="00A94137">
        <w:rPr>
          <w:rFonts w:ascii="Times New Roman" w:eastAsia="Times New Roman" w:hAnsi="Times New Roman" w:cs="Times New Roman"/>
          <w:vertAlign w:val="subscript"/>
        </w:rPr>
        <w:t>load</w:t>
      </w:r>
      <w:r w:rsidR="00386A6E">
        <w:rPr>
          <w:rFonts w:ascii="Times New Roman" w:eastAsia="Times New Roman" w:hAnsi="Times New Roman" w:cs="Times New Roman"/>
        </w:rPr>
        <w:t xml:space="preserve"> between ORCHIDEE-CNP and</w:t>
      </w:r>
      <w:r w:rsidR="00427043">
        <w:rPr>
          <w:rFonts w:ascii="Times New Roman" w:eastAsia="Times New Roman" w:hAnsi="Times New Roman" w:cs="Times New Roman"/>
        </w:rPr>
        <w:t xml:space="preserve"> GlobalNEWS2</w:t>
      </w:r>
      <w:r w:rsidR="00386A6E">
        <w:rPr>
          <w:rFonts w:ascii="Times New Roman" w:eastAsia="Times New Roman" w:hAnsi="Times New Roman" w:cs="Times New Roman"/>
        </w:rPr>
        <w:t xml:space="preserve">. Black line indicates 1:1 line. </w:t>
      </w:r>
    </w:p>
    <w:p w14:paraId="59F1CB24" w14:textId="77777777" w:rsidR="00757ABE" w:rsidRDefault="00757ABE" w:rsidP="00757ABE">
      <w:pPr>
        <w:spacing w:before="120"/>
        <w:jc w:val="both"/>
        <w:rPr>
          <w:rFonts w:ascii="Times New Roman" w:eastAsia="Times New Roman" w:hAnsi="Times New Roman" w:cs="Times New Roman"/>
        </w:rPr>
      </w:pPr>
    </w:p>
    <w:p w14:paraId="2C0B02A4" w14:textId="77777777" w:rsidR="00757ABE" w:rsidRDefault="00757ABE" w:rsidP="00757ABE">
      <w:pPr>
        <w:spacing w:before="120"/>
        <w:jc w:val="both"/>
        <w:rPr>
          <w:rFonts w:ascii="Times New Roman" w:eastAsia="Times New Roman" w:hAnsi="Times New Roman" w:cs="Times New Roman"/>
        </w:rPr>
      </w:pPr>
    </w:p>
    <w:p w14:paraId="3D71155C" w14:textId="77777777" w:rsidR="00757ABE" w:rsidRDefault="00757ABE" w:rsidP="00757ABE">
      <w:pPr>
        <w:spacing w:before="120"/>
        <w:jc w:val="both"/>
        <w:rPr>
          <w:rFonts w:ascii="Times New Roman" w:eastAsia="Times New Roman" w:hAnsi="Times New Roman" w:cs="Times New Roman"/>
        </w:rPr>
      </w:pPr>
    </w:p>
    <w:p w14:paraId="364D44B6" w14:textId="77777777" w:rsidR="00757ABE" w:rsidRDefault="00757ABE" w:rsidP="00757ABE">
      <w:pPr>
        <w:spacing w:before="120"/>
        <w:jc w:val="both"/>
        <w:rPr>
          <w:rFonts w:ascii="Times New Roman" w:eastAsia="Times New Roman" w:hAnsi="Times New Roman" w:cs="Times New Roman"/>
        </w:rPr>
      </w:pPr>
    </w:p>
    <w:p w14:paraId="4D51CF3C" w14:textId="77777777" w:rsidR="00757ABE" w:rsidRDefault="00757ABE" w:rsidP="00757ABE">
      <w:pPr>
        <w:spacing w:before="120"/>
        <w:jc w:val="both"/>
        <w:rPr>
          <w:rFonts w:ascii="Times New Roman" w:eastAsia="Times New Roman" w:hAnsi="Times New Roman" w:cs="Times New Roman"/>
        </w:rPr>
      </w:pPr>
    </w:p>
    <w:p w14:paraId="57271239" w14:textId="77777777" w:rsidR="00E5717F" w:rsidRDefault="00E5717F" w:rsidP="00E5717F">
      <w:pPr>
        <w:spacing w:line="360" w:lineRule="auto"/>
        <w:jc w:val="both"/>
        <w:rPr>
          <w:rFonts w:ascii="Times New Roman" w:eastAsia="Times New Roman" w:hAnsi="Times New Roman" w:cs="Times New Roman"/>
          <w:b/>
          <w:color w:val="000000"/>
        </w:rPr>
      </w:pPr>
      <w:r>
        <w:rPr>
          <w:noProof/>
        </w:rPr>
        <w:drawing>
          <wp:inline distT="0" distB="0" distL="0" distR="0" wp14:anchorId="78C089B8" wp14:editId="0D705E0B">
            <wp:extent cx="5464800" cy="21852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Figure12_evaluation_Km Kopie.tiff"/>
                    <pic:cNvPicPr/>
                  </pic:nvPicPr>
                  <pic:blipFill>
                    <a:blip r:embed="rId30">
                      <a:extLst>
                        <a:ext uri="{28A0092B-C50C-407E-A947-70E740481C1C}">
                          <a14:useLocalDpi xmlns:a14="http://schemas.microsoft.com/office/drawing/2010/main" val="0"/>
                        </a:ext>
                      </a:extLst>
                    </a:blip>
                    <a:stretch>
                      <a:fillRect/>
                    </a:stretch>
                  </pic:blipFill>
                  <pic:spPr>
                    <a:xfrm>
                      <a:off x="0" y="0"/>
                      <a:ext cx="5464800" cy="2185200"/>
                    </a:xfrm>
                    <a:prstGeom prst="rect">
                      <a:avLst/>
                    </a:prstGeom>
                  </pic:spPr>
                </pic:pic>
              </a:graphicData>
            </a:graphic>
          </wp:inline>
        </w:drawing>
      </w:r>
    </w:p>
    <w:p w14:paraId="10F2E99B" w14:textId="77777777" w:rsidR="00E5717F" w:rsidRPr="00A10CE1" w:rsidRDefault="00E5717F" w:rsidP="00E5717F">
      <w:pPr>
        <w:spacing w:line="360" w:lineRule="auto"/>
        <w:jc w:val="both"/>
        <w:rPr>
          <w:rFonts w:ascii="Times New Roman" w:eastAsia="Times New Roman" w:hAnsi="Times New Roman" w:cs="Times New Roman"/>
          <w:color w:val="000000"/>
        </w:rPr>
      </w:pPr>
    </w:p>
    <w:p w14:paraId="51F88B11" w14:textId="5DCB999C" w:rsidR="00E5717F" w:rsidRPr="00651583" w:rsidRDefault="00E5717F" w:rsidP="00E5717F">
      <w:pPr>
        <w:pStyle w:val="Caption"/>
        <w:rPr>
          <w:b w:val="0"/>
          <w:sz w:val="24"/>
          <w:szCs w:val="24"/>
          <w:lang w:val="en-US" w:eastAsia="zh-CN"/>
        </w:rPr>
      </w:pPr>
      <w:r w:rsidRPr="00DB5937">
        <w:rPr>
          <w:sz w:val="24"/>
          <w:szCs w:val="24"/>
        </w:rPr>
        <w:t>Figure S1</w:t>
      </w:r>
      <w:r w:rsidR="009C0F8E">
        <w:rPr>
          <w:sz w:val="24"/>
          <w:szCs w:val="24"/>
        </w:rPr>
        <w:t>9</w:t>
      </w:r>
      <w:r w:rsidR="00985DD0">
        <w:rPr>
          <w:b w:val="0"/>
          <w:sz w:val="24"/>
          <w:szCs w:val="24"/>
        </w:rPr>
        <w:t xml:space="preserve"> </w:t>
      </w:r>
      <w:r w:rsidR="002675DB">
        <w:rPr>
          <w:b w:val="0"/>
          <w:sz w:val="24"/>
          <w:szCs w:val="24"/>
        </w:rPr>
        <w:t>Violin plot</w:t>
      </w:r>
      <w:r w:rsidRPr="00A10CE1">
        <w:rPr>
          <w:b w:val="0"/>
          <w:sz w:val="24"/>
          <w:szCs w:val="24"/>
        </w:rPr>
        <w:t>s of soil solution inorganic P turnover rates by soil order between ORCHIDEE-CNP</w:t>
      </w:r>
      <w:r>
        <w:rPr>
          <w:b w:val="0"/>
          <w:sz w:val="24"/>
          <w:szCs w:val="24"/>
        </w:rPr>
        <w:t xml:space="preserve"> (red)</w:t>
      </w:r>
      <w:r w:rsidRPr="00A10CE1">
        <w:rPr>
          <w:b w:val="0"/>
          <w:sz w:val="24"/>
          <w:szCs w:val="24"/>
        </w:rPr>
        <w:t xml:space="preserve"> and measurements </w:t>
      </w:r>
      <w:r>
        <w:rPr>
          <w:b w:val="0"/>
          <w:sz w:val="24"/>
          <w:szCs w:val="24"/>
        </w:rPr>
        <w:t xml:space="preserve">(black) </w:t>
      </w:r>
      <w:r w:rsidRPr="00A10CE1">
        <w:rPr>
          <w:b w:val="0"/>
          <w:sz w:val="24"/>
          <w:szCs w:val="24"/>
        </w:rPr>
        <w:t>(Helfenstein et al.</w:t>
      </w:r>
      <w:r w:rsidR="0010793F">
        <w:rPr>
          <w:b w:val="0"/>
          <w:sz w:val="24"/>
          <w:szCs w:val="24"/>
        </w:rPr>
        <w:t>,</w:t>
      </w:r>
      <w:r w:rsidRPr="00A10CE1">
        <w:rPr>
          <w:b w:val="0"/>
          <w:sz w:val="24"/>
          <w:szCs w:val="24"/>
        </w:rPr>
        <w:t xml:space="preserve"> 2018).</w:t>
      </w:r>
      <w:r w:rsidR="00C80103">
        <w:rPr>
          <w:b w:val="0"/>
          <w:sz w:val="24"/>
          <w:szCs w:val="24"/>
        </w:rPr>
        <w:t xml:space="preserve"> The number of measurements and gr</w:t>
      </w:r>
      <w:r w:rsidR="002D46F1">
        <w:rPr>
          <w:b w:val="0"/>
          <w:sz w:val="24"/>
          <w:szCs w:val="24"/>
        </w:rPr>
        <w:t>id cells for each soil suborder</w:t>
      </w:r>
      <w:r w:rsidR="00C80103">
        <w:rPr>
          <w:b w:val="0"/>
          <w:sz w:val="24"/>
          <w:szCs w:val="24"/>
        </w:rPr>
        <w:t xml:space="preserve"> are </w:t>
      </w:r>
      <w:r w:rsidR="00383B7F">
        <w:rPr>
          <w:b w:val="0"/>
          <w:sz w:val="24"/>
          <w:szCs w:val="24"/>
        </w:rPr>
        <w:t>also</w:t>
      </w:r>
      <w:r w:rsidR="00C80103">
        <w:rPr>
          <w:b w:val="0"/>
          <w:sz w:val="24"/>
          <w:szCs w:val="24"/>
        </w:rPr>
        <w:t xml:space="preserve"> shown.</w:t>
      </w:r>
      <w:r w:rsidR="003353F9">
        <w:rPr>
          <w:b w:val="0"/>
          <w:sz w:val="24"/>
          <w:szCs w:val="24"/>
        </w:rPr>
        <w:t xml:space="preserve"> </w:t>
      </w:r>
      <w:r w:rsidR="003135AD" w:rsidRPr="003135AD">
        <w:rPr>
          <w:b w:val="0"/>
          <w:sz w:val="24"/>
          <w:szCs w:val="24"/>
        </w:rPr>
        <w:t>Open circles are medians of all grid cells within each biome, with balloons representing the probability density distribution of each value.</w:t>
      </w:r>
    </w:p>
    <w:p w14:paraId="46FBE803" w14:textId="77777777" w:rsidR="00E5717F" w:rsidRDefault="00E5717F" w:rsidP="00E5717F">
      <w:pPr>
        <w:rPr>
          <w:highlight w:val="yellow"/>
          <w:lang w:val="en-GB" w:eastAsia="de-DE"/>
        </w:rPr>
      </w:pPr>
    </w:p>
    <w:p w14:paraId="490096F4" w14:textId="77777777" w:rsidR="00E5717F" w:rsidRPr="004D02A1" w:rsidRDefault="00E5717F" w:rsidP="00E5717F">
      <w:pPr>
        <w:rPr>
          <w:highlight w:val="yellow"/>
          <w:lang w:val="en-GB" w:eastAsia="de-DE"/>
        </w:rPr>
      </w:pPr>
    </w:p>
    <w:p w14:paraId="36ABDCA4" w14:textId="77777777" w:rsidR="00E5717F" w:rsidRDefault="00E5717F" w:rsidP="00E5717F">
      <w:pPr>
        <w:spacing w:line="360" w:lineRule="auto"/>
        <w:jc w:val="both"/>
        <w:rPr>
          <w:rFonts w:ascii="Times New Roman" w:eastAsia="Times New Roman" w:hAnsi="Times New Roman" w:cs="Times New Roman"/>
          <w:b/>
          <w:color w:val="000000"/>
        </w:rPr>
      </w:pPr>
      <w:r>
        <w:rPr>
          <w:noProof/>
        </w:rPr>
        <w:lastRenderedPageBreak/>
        <w:drawing>
          <wp:inline distT="0" distB="0" distL="0" distR="0" wp14:anchorId="2AD48BC3" wp14:editId="3702816C">
            <wp:extent cx="5727700" cy="1477796"/>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ure12_BPM copy.pdf"/>
                    <pic:cNvPicPr/>
                  </pic:nvPicPr>
                  <pic:blipFill>
                    <a:blip r:embed="rId31">
                      <a:extLst>
                        <a:ext uri="{28A0092B-C50C-407E-A947-70E740481C1C}">
                          <a14:useLocalDpi xmlns:a14="http://schemas.microsoft.com/office/drawing/2010/main" val="0"/>
                        </a:ext>
                      </a:extLst>
                    </a:blip>
                    <a:stretch>
                      <a:fillRect/>
                    </a:stretch>
                  </pic:blipFill>
                  <pic:spPr>
                    <a:xfrm>
                      <a:off x="0" y="0"/>
                      <a:ext cx="5727700" cy="1477796"/>
                    </a:xfrm>
                    <a:prstGeom prst="rect">
                      <a:avLst/>
                    </a:prstGeom>
                  </pic:spPr>
                </pic:pic>
              </a:graphicData>
            </a:graphic>
          </wp:inline>
        </w:drawing>
      </w:r>
    </w:p>
    <w:p w14:paraId="1C2B14C9" w14:textId="1F5680D2" w:rsidR="00EB2A27" w:rsidRPr="00E5717F" w:rsidRDefault="00E5717F" w:rsidP="00E5717F">
      <w:pPr>
        <w:pStyle w:val="Caption"/>
        <w:rPr>
          <w:b w:val="0"/>
          <w:sz w:val="24"/>
          <w:szCs w:val="24"/>
          <w:highlight w:val="yellow"/>
        </w:rPr>
      </w:pPr>
      <w:r w:rsidRPr="00DB5937">
        <w:rPr>
          <w:sz w:val="24"/>
          <w:szCs w:val="24"/>
        </w:rPr>
        <w:t>Figure S</w:t>
      </w:r>
      <w:r w:rsidR="009C0F8E">
        <w:rPr>
          <w:sz w:val="24"/>
          <w:szCs w:val="24"/>
        </w:rPr>
        <w:t>20</w:t>
      </w:r>
      <w:r w:rsidRPr="00CB2D78">
        <w:rPr>
          <w:b w:val="0"/>
          <w:sz w:val="24"/>
          <w:szCs w:val="24"/>
        </w:rPr>
        <w:t xml:space="preserve"> Global pattern of biochemical mineralization by ORCHIDEE-CNP (a) and normalized acid phosphatase activity (b).</w:t>
      </w:r>
      <w:r w:rsidR="00EB2A27">
        <w:rPr>
          <w:b w:val="0"/>
        </w:rPr>
        <w:br w:type="page"/>
      </w:r>
    </w:p>
    <w:p w14:paraId="3BC93597" w14:textId="6AD538CC" w:rsidR="00EB2A27" w:rsidRDefault="00EB2A27" w:rsidP="00386A6E">
      <w:pPr>
        <w:spacing w:before="120" w:line="360" w:lineRule="auto"/>
        <w:jc w:val="both"/>
        <w:rPr>
          <w:rFonts w:ascii="Times New Roman" w:eastAsia="Times New Roman" w:hAnsi="Times New Roman" w:cs="Times New Roman"/>
          <w:b/>
        </w:rPr>
      </w:pPr>
      <w:r w:rsidRPr="00EB2A27">
        <w:rPr>
          <w:rFonts w:ascii="Times New Roman" w:eastAsia="Times New Roman" w:hAnsi="Times New Roman" w:cs="Times New Roman"/>
          <w:b/>
          <w:noProof/>
        </w:rPr>
        <w:lastRenderedPageBreak/>
        <w:drawing>
          <wp:inline distT="0" distB="0" distL="0" distR="0" wp14:anchorId="10F0E0B9" wp14:editId="082A6AFC">
            <wp:extent cx="5727700" cy="3932555"/>
            <wp:effectExtent l="0" t="0" r="12700" b="4445"/>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2"/>
                    <a:stretch>
                      <a:fillRect/>
                    </a:stretch>
                  </pic:blipFill>
                  <pic:spPr>
                    <a:xfrm>
                      <a:off x="0" y="0"/>
                      <a:ext cx="5727700" cy="3932555"/>
                    </a:xfrm>
                    <a:prstGeom prst="rect">
                      <a:avLst/>
                    </a:prstGeom>
                  </pic:spPr>
                </pic:pic>
              </a:graphicData>
            </a:graphic>
          </wp:inline>
        </w:drawing>
      </w:r>
    </w:p>
    <w:p w14:paraId="3DF83EB1" w14:textId="0515956C" w:rsidR="0057121E" w:rsidRPr="00C935D8" w:rsidRDefault="00386A6E" w:rsidP="00C935D8">
      <w:pPr>
        <w:spacing w:before="120" w:line="360" w:lineRule="auto"/>
        <w:jc w:val="both"/>
        <w:rPr>
          <w:rFonts w:ascii="Times New Roman" w:eastAsia="Times New Roman" w:hAnsi="Times New Roman" w:cs="Times New Roman"/>
        </w:rPr>
      </w:pPr>
      <w:r>
        <w:rPr>
          <w:rFonts w:ascii="Times New Roman" w:eastAsia="Times New Roman" w:hAnsi="Times New Roman" w:cs="Times New Roman"/>
          <w:b/>
        </w:rPr>
        <w:t>Figure S</w:t>
      </w:r>
      <w:r w:rsidR="00742976">
        <w:rPr>
          <w:rFonts w:ascii="Times New Roman" w:eastAsia="Times New Roman" w:hAnsi="Times New Roman" w:cs="Times New Roman"/>
          <w:b/>
        </w:rPr>
        <w:t>2</w:t>
      </w:r>
      <w:r w:rsidR="009C0F8E">
        <w:rPr>
          <w:rFonts w:ascii="Times New Roman" w:eastAsia="Times New Roman" w:hAnsi="Times New Roman" w:cs="Times New Roman"/>
          <w:b/>
        </w:rPr>
        <w:t>1</w:t>
      </w:r>
      <w:r>
        <w:rPr>
          <w:rFonts w:ascii="Times New Roman" w:eastAsia="Times New Roman" w:hAnsi="Times New Roman" w:cs="Times New Roman"/>
        </w:rPr>
        <w:t xml:space="preserve"> Chemical and manure N and P input on catchment scale by GlobalNEWS2 and ORCHIDEE-CNP.</w:t>
      </w:r>
    </w:p>
    <w:sectPr w:rsidR="0057121E" w:rsidRPr="00C935D8">
      <w:pgSz w:w="11900" w:h="16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B88276" w14:textId="77777777" w:rsidR="00444CBB" w:rsidRDefault="00444CBB">
      <w:r>
        <w:separator/>
      </w:r>
    </w:p>
  </w:endnote>
  <w:endnote w:type="continuationSeparator" w:id="0">
    <w:p w14:paraId="4FFAD3FB" w14:textId="77777777" w:rsidR="00444CBB" w:rsidRDefault="00444C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auto"/>
    <w:pitch w:val="variable"/>
    <w:sig w:usb0="E0002AEF" w:usb1="C0007841" w:usb2="00000009" w:usb3="00000000" w:csb0="000001FF" w:csb1="00000000"/>
  </w:font>
  <w:font w:name="Calibri Light">
    <w:panose1 w:val="020F0302020204030204"/>
    <w:charset w:val="00"/>
    <w:family w:val="auto"/>
    <w:pitch w:val="variable"/>
    <w:sig w:usb0="A00002EF" w:usb1="4000207B"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Arial">
    <w:panose1 w:val="020B0604020202020204"/>
    <w:charset w:val="00"/>
    <w:family w:val="auto"/>
    <w:pitch w:val="variable"/>
    <w:sig w:usb0="E0002AFF" w:usb1="C0007843" w:usb2="00000009" w:usb3="00000000" w:csb0="000001FF" w:csb1="00000000"/>
  </w:font>
  <w:font w:name="宋体">
    <w:charset w:val="86"/>
    <w:family w:val="auto"/>
    <w:pitch w:val="variable"/>
    <w:sig w:usb0="00000003" w:usb1="288F0000" w:usb2="00000016" w:usb3="00000000" w:csb0="00040001" w:csb1="00000000"/>
  </w:font>
  <w:font w:name="Cambria Math">
    <w:panose1 w:val="02040503050406030204"/>
    <w:charset w:val="00"/>
    <w:family w:val="auto"/>
    <w:pitch w:val="variable"/>
    <w:sig w:usb0="E00002FF" w:usb1="420024FF" w:usb2="00000000" w:usb3="00000000" w:csb0="0000019F" w:csb1="00000000"/>
  </w:font>
  <w:font w:name="Times">
    <w:panose1 w:val="00000500000000020000"/>
    <w:charset w:val="00"/>
    <w:family w:val="auto"/>
    <w:pitch w:val="variable"/>
    <w:sig w:usb0="00000003" w:usb1="00000000" w:usb2="00000000" w:usb3="00000000" w:csb0="00000001" w:csb1="00000000"/>
  </w:font>
  <w:font w:name="Noto Sans Symbols">
    <w:altName w:val="Times New Roman"/>
    <w:charset w:val="00"/>
    <w:family w:val="auto"/>
    <w:pitch w:val="default"/>
  </w:font>
  <w:font w:name="Symbol">
    <w:panose1 w:val="05050102010706020507"/>
    <w:charset w:val="02"/>
    <w:family w:val="auto"/>
    <w:pitch w:val="variable"/>
    <w:sig w:usb0="00000000" w:usb1="10000000" w:usb2="00000000" w:usb3="00000000" w:csb0="80000000" w:csb1="00000000"/>
  </w:font>
  <w:font w:name="MS Mincho">
    <w:panose1 w:val="02020609040205080304"/>
    <w:charset w:val="80"/>
    <w:family w:val="auto"/>
    <w:pitch w:val="variable"/>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76912F" w14:textId="77777777" w:rsidR="00897973" w:rsidRDefault="00897973">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end"/>
    </w:r>
  </w:p>
  <w:p w14:paraId="0CAC6D6D" w14:textId="77777777" w:rsidR="00897973" w:rsidRDefault="00897973">
    <w:pPr>
      <w:pBdr>
        <w:top w:val="nil"/>
        <w:left w:val="nil"/>
        <w:bottom w:val="nil"/>
        <w:right w:val="nil"/>
        <w:between w:val="nil"/>
      </w:pBdr>
      <w:tabs>
        <w:tab w:val="center" w:pos="4680"/>
        <w:tab w:val="right" w:pos="9360"/>
      </w:tabs>
      <w:ind w:right="360"/>
      <w:rPr>
        <w:color w:val="000000"/>
      </w:rP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AF6ED9" w14:textId="77777777" w:rsidR="00897973" w:rsidRDefault="00897973">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separate"/>
    </w:r>
    <w:r w:rsidR="00ED5A68">
      <w:rPr>
        <w:noProof/>
        <w:color w:val="000000"/>
      </w:rPr>
      <w:t>10</w:t>
    </w:r>
    <w:r>
      <w:rPr>
        <w:color w:val="000000"/>
      </w:rPr>
      <w:fldChar w:fldCharType="end"/>
    </w:r>
  </w:p>
  <w:p w14:paraId="5D3C526C" w14:textId="77777777" w:rsidR="00897973" w:rsidRDefault="00897973">
    <w:pPr>
      <w:pBdr>
        <w:top w:val="nil"/>
        <w:left w:val="nil"/>
        <w:bottom w:val="nil"/>
        <w:right w:val="nil"/>
        <w:between w:val="nil"/>
      </w:pBdr>
      <w:tabs>
        <w:tab w:val="center" w:pos="4680"/>
        <w:tab w:val="right" w:pos="9360"/>
      </w:tabs>
      <w:ind w:right="360"/>
      <w:rPr>
        <w:color w:val="000000"/>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12F8FE" w14:textId="77777777" w:rsidR="00444CBB" w:rsidRDefault="00444CBB">
      <w:r>
        <w:separator/>
      </w:r>
    </w:p>
  </w:footnote>
  <w:footnote w:type="continuationSeparator" w:id="0">
    <w:p w14:paraId="752B2083" w14:textId="77777777" w:rsidR="00444CBB" w:rsidRDefault="00444CB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763ACA" w14:textId="77777777" w:rsidR="00897973" w:rsidRDefault="00897973">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end"/>
    </w:r>
  </w:p>
  <w:p w14:paraId="2CBA24B6" w14:textId="77777777" w:rsidR="00897973" w:rsidRDefault="00897973">
    <w:pPr>
      <w:pBdr>
        <w:top w:val="nil"/>
        <w:left w:val="nil"/>
        <w:bottom w:val="nil"/>
        <w:right w:val="nil"/>
        <w:between w:val="nil"/>
      </w:pBdr>
      <w:tabs>
        <w:tab w:val="center" w:pos="4680"/>
        <w:tab w:val="right" w:pos="9360"/>
      </w:tabs>
      <w:ind w:right="360"/>
      <w:rPr>
        <w:color w:val="000000"/>
      </w:rP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F433E3" w14:textId="77777777" w:rsidR="00897973" w:rsidRDefault="00897973">
    <w:pPr>
      <w:pBdr>
        <w:top w:val="nil"/>
        <w:left w:val="nil"/>
        <w:bottom w:val="nil"/>
        <w:right w:val="nil"/>
        <w:between w:val="nil"/>
      </w:pBdr>
      <w:tabs>
        <w:tab w:val="center" w:pos="4680"/>
        <w:tab w:val="right" w:pos="9360"/>
      </w:tabs>
      <w:jc w:val="right"/>
      <w:rPr>
        <w:color w:val="000000"/>
      </w:rPr>
    </w:pPr>
  </w:p>
  <w:p w14:paraId="43776800" w14:textId="77777777" w:rsidR="00897973" w:rsidRDefault="00897973">
    <w:pPr>
      <w:pBdr>
        <w:top w:val="nil"/>
        <w:left w:val="nil"/>
        <w:bottom w:val="nil"/>
        <w:right w:val="nil"/>
        <w:between w:val="nil"/>
      </w:pBdr>
      <w:tabs>
        <w:tab w:val="center" w:pos="4680"/>
        <w:tab w:val="right" w:pos="9360"/>
      </w:tabs>
      <w:ind w:right="360"/>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7"/>
  <w:defaultTabStop w:val="720"/>
  <w:drawingGridHorizontalSpacing w:val="120"/>
  <w:drawingGridVerticalSpacing w:val="163"/>
  <w:displayHorizontalDrawingGridEvery w:val="2"/>
  <w:displayVertic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6A6E"/>
    <w:rsid w:val="00021727"/>
    <w:rsid w:val="000324FF"/>
    <w:rsid w:val="00037255"/>
    <w:rsid w:val="0004028C"/>
    <w:rsid w:val="00040B26"/>
    <w:rsid w:val="00053517"/>
    <w:rsid w:val="00062573"/>
    <w:rsid w:val="000929D9"/>
    <w:rsid w:val="00095285"/>
    <w:rsid w:val="000C0B02"/>
    <w:rsid w:val="000C2E2B"/>
    <w:rsid w:val="000C3B26"/>
    <w:rsid w:val="000E0365"/>
    <w:rsid w:val="000E3CEB"/>
    <w:rsid w:val="000E5D13"/>
    <w:rsid w:val="000E64FD"/>
    <w:rsid w:val="000F06FA"/>
    <w:rsid w:val="000F5196"/>
    <w:rsid w:val="00102215"/>
    <w:rsid w:val="00104ED9"/>
    <w:rsid w:val="0010793F"/>
    <w:rsid w:val="0011024F"/>
    <w:rsid w:val="00124C95"/>
    <w:rsid w:val="00127343"/>
    <w:rsid w:val="0012738D"/>
    <w:rsid w:val="00127663"/>
    <w:rsid w:val="00131A55"/>
    <w:rsid w:val="00134505"/>
    <w:rsid w:val="00136688"/>
    <w:rsid w:val="0013774F"/>
    <w:rsid w:val="00146720"/>
    <w:rsid w:val="00155E2E"/>
    <w:rsid w:val="00170511"/>
    <w:rsid w:val="001746F8"/>
    <w:rsid w:val="00175D1E"/>
    <w:rsid w:val="00184E6A"/>
    <w:rsid w:val="00190919"/>
    <w:rsid w:val="001A045A"/>
    <w:rsid w:val="001B07EF"/>
    <w:rsid w:val="001C434F"/>
    <w:rsid w:val="001C7A5A"/>
    <w:rsid w:val="001D53B4"/>
    <w:rsid w:val="001D53D3"/>
    <w:rsid w:val="001E4742"/>
    <w:rsid w:val="001F3856"/>
    <w:rsid w:val="001F66DC"/>
    <w:rsid w:val="00200AF1"/>
    <w:rsid w:val="00202D76"/>
    <w:rsid w:val="00210964"/>
    <w:rsid w:val="0021352B"/>
    <w:rsid w:val="002326F7"/>
    <w:rsid w:val="00237DE6"/>
    <w:rsid w:val="00240723"/>
    <w:rsid w:val="002523ED"/>
    <w:rsid w:val="002578A7"/>
    <w:rsid w:val="00260777"/>
    <w:rsid w:val="002619EC"/>
    <w:rsid w:val="002675DB"/>
    <w:rsid w:val="0027004E"/>
    <w:rsid w:val="00282F56"/>
    <w:rsid w:val="00284BBB"/>
    <w:rsid w:val="00294440"/>
    <w:rsid w:val="002A0A76"/>
    <w:rsid w:val="002A0E97"/>
    <w:rsid w:val="002A278A"/>
    <w:rsid w:val="002B1421"/>
    <w:rsid w:val="002B175B"/>
    <w:rsid w:val="002D1AFD"/>
    <w:rsid w:val="002D46F1"/>
    <w:rsid w:val="002D7105"/>
    <w:rsid w:val="002E0EF9"/>
    <w:rsid w:val="002E5B2D"/>
    <w:rsid w:val="002F0914"/>
    <w:rsid w:val="002F259A"/>
    <w:rsid w:val="002F497B"/>
    <w:rsid w:val="00302077"/>
    <w:rsid w:val="00303358"/>
    <w:rsid w:val="003135AD"/>
    <w:rsid w:val="00315C78"/>
    <w:rsid w:val="0033419E"/>
    <w:rsid w:val="003353F9"/>
    <w:rsid w:val="00335864"/>
    <w:rsid w:val="00337506"/>
    <w:rsid w:val="00345528"/>
    <w:rsid w:val="00345AA1"/>
    <w:rsid w:val="00350087"/>
    <w:rsid w:val="003617E0"/>
    <w:rsid w:val="003631BF"/>
    <w:rsid w:val="003649C9"/>
    <w:rsid w:val="00365F61"/>
    <w:rsid w:val="00367A93"/>
    <w:rsid w:val="00371657"/>
    <w:rsid w:val="00383B7F"/>
    <w:rsid w:val="00384766"/>
    <w:rsid w:val="00384E98"/>
    <w:rsid w:val="003866C9"/>
    <w:rsid w:val="00386A6E"/>
    <w:rsid w:val="0039682E"/>
    <w:rsid w:val="003A54B6"/>
    <w:rsid w:val="003B5457"/>
    <w:rsid w:val="003E509A"/>
    <w:rsid w:val="003E55F7"/>
    <w:rsid w:val="003F0463"/>
    <w:rsid w:val="003F0712"/>
    <w:rsid w:val="003F4152"/>
    <w:rsid w:val="003F463F"/>
    <w:rsid w:val="0040466B"/>
    <w:rsid w:val="00405226"/>
    <w:rsid w:val="00414AF7"/>
    <w:rsid w:val="00415E57"/>
    <w:rsid w:val="00420C3A"/>
    <w:rsid w:val="00424706"/>
    <w:rsid w:val="00425520"/>
    <w:rsid w:val="00427043"/>
    <w:rsid w:val="00430764"/>
    <w:rsid w:val="00444CBB"/>
    <w:rsid w:val="0045143B"/>
    <w:rsid w:val="0045215C"/>
    <w:rsid w:val="00460B5C"/>
    <w:rsid w:val="00461A2C"/>
    <w:rsid w:val="004707E3"/>
    <w:rsid w:val="0047128F"/>
    <w:rsid w:val="004762F5"/>
    <w:rsid w:val="004821F0"/>
    <w:rsid w:val="00482AC6"/>
    <w:rsid w:val="0048364D"/>
    <w:rsid w:val="0048526C"/>
    <w:rsid w:val="0048618F"/>
    <w:rsid w:val="00486E0A"/>
    <w:rsid w:val="004948F0"/>
    <w:rsid w:val="004A1A52"/>
    <w:rsid w:val="004A47A8"/>
    <w:rsid w:val="004A5AF1"/>
    <w:rsid w:val="004A677C"/>
    <w:rsid w:val="004D02A1"/>
    <w:rsid w:val="004D3894"/>
    <w:rsid w:val="004E0606"/>
    <w:rsid w:val="004E18B0"/>
    <w:rsid w:val="004F0702"/>
    <w:rsid w:val="004F2AB9"/>
    <w:rsid w:val="00500310"/>
    <w:rsid w:val="00501A6F"/>
    <w:rsid w:val="00512453"/>
    <w:rsid w:val="00512EB6"/>
    <w:rsid w:val="00517499"/>
    <w:rsid w:val="005235A2"/>
    <w:rsid w:val="005330B7"/>
    <w:rsid w:val="00547877"/>
    <w:rsid w:val="00552E35"/>
    <w:rsid w:val="00553A9A"/>
    <w:rsid w:val="00555EA5"/>
    <w:rsid w:val="0055706B"/>
    <w:rsid w:val="0057121E"/>
    <w:rsid w:val="005715B6"/>
    <w:rsid w:val="0057311C"/>
    <w:rsid w:val="00581BFF"/>
    <w:rsid w:val="005948B7"/>
    <w:rsid w:val="005B152A"/>
    <w:rsid w:val="005C7C1A"/>
    <w:rsid w:val="005D0242"/>
    <w:rsid w:val="005D618C"/>
    <w:rsid w:val="005D72B1"/>
    <w:rsid w:val="005E35CD"/>
    <w:rsid w:val="00603CE6"/>
    <w:rsid w:val="00614E61"/>
    <w:rsid w:val="0063367A"/>
    <w:rsid w:val="006349AE"/>
    <w:rsid w:val="0064240C"/>
    <w:rsid w:val="00642E04"/>
    <w:rsid w:val="00651583"/>
    <w:rsid w:val="00652691"/>
    <w:rsid w:val="0065425E"/>
    <w:rsid w:val="00655228"/>
    <w:rsid w:val="00657392"/>
    <w:rsid w:val="00674C59"/>
    <w:rsid w:val="00680020"/>
    <w:rsid w:val="006803B8"/>
    <w:rsid w:val="00681209"/>
    <w:rsid w:val="006833A2"/>
    <w:rsid w:val="0069732A"/>
    <w:rsid w:val="006A53E7"/>
    <w:rsid w:val="006B1557"/>
    <w:rsid w:val="006C00EA"/>
    <w:rsid w:val="006C079F"/>
    <w:rsid w:val="006C1890"/>
    <w:rsid w:val="006C2236"/>
    <w:rsid w:val="006C2AF8"/>
    <w:rsid w:val="006C3ED2"/>
    <w:rsid w:val="006C45DC"/>
    <w:rsid w:val="006C7E43"/>
    <w:rsid w:val="006D1CA7"/>
    <w:rsid w:val="006E6CCD"/>
    <w:rsid w:val="006E75EA"/>
    <w:rsid w:val="006F34B3"/>
    <w:rsid w:val="006F456E"/>
    <w:rsid w:val="006F4F4C"/>
    <w:rsid w:val="00700B5B"/>
    <w:rsid w:val="007078E2"/>
    <w:rsid w:val="00710C9C"/>
    <w:rsid w:val="007136FA"/>
    <w:rsid w:val="00726948"/>
    <w:rsid w:val="00733BA0"/>
    <w:rsid w:val="00741D5A"/>
    <w:rsid w:val="007426D9"/>
    <w:rsid w:val="00742976"/>
    <w:rsid w:val="00754C25"/>
    <w:rsid w:val="0075577F"/>
    <w:rsid w:val="007574F2"/>
    <w:rsid w:val="00757ABE"/>
    <w:rsid w:val="00761F4E"/>
    <w:rsid w:val="00763644"/>
    <w:rsid w:val="0078122F"/>
    <w:rsid w:val="00784EC7"/>
    <w:rsid w:val="00785BED"/>
    <w:rsid w:val="00791E67"/>
    <w:rsid w:val="00797D7D"/>
    <w:rsid w:val="007A33C1"/>
    <w:rsid w:val="007A3DD9"/>
    <w:rsid w:val="007B25E4"/>
    <w:rsid w:val="007B3535"/>
    <w:rsid w:val="007C22F1"/>
    <w:rsid w:val="007C495D"/>
    <w:rsid w:val="007D55BA"/>
    <w:rsid w:val="007E6E99"/>
    <w:rsid w:val="007F2E73"/>
    <w:rsid w:val="007F3715"/>
    <w:rsid w:val="00801E4E"/>
    <w:rsid w:val="008044CC"/>
    <w:rsid w:val="00822476"/>
    <w:rsid w:val="00832134"/>
    <w:rsid w:val="00833AA2"/>
    <w:rsid w:val="00833BD6"/>
    <w:rsid w:val="0084007B"/>
    <w:rsid w:val="00840CB7"/>
    <w:rsid w:val="0084684B"/>
    <w:rsid w:val="008577D2"/>
    <w:rsid w:val="008640C8"/>
    <w:rsid w:val="00867961"/>
    <w:rsid w:val="0087309D"/>
    <w:rsid w:val="008767DD"/>
    <w:rsid w:val="00893047"/>
    <w:rsid w:val="00897973"/>
    <w:rsid w:val="008A305C"/>
    <w:rsid w:val="008B6172"/>
    <w:rsid w:val="008B74BF"/>
    <w:rsid w:val="008C76C4"/>
    <w:rsid w:val="008D00AD"/>
    <w:rsid w:val="008E33B6"/>
    <w:rsid w:val="008E5F78"/>
    <w:rsid w:val="008E6E05"/>
    <w:rsid w:val="00904FC9"/>
    <w:rsid w:val="00905D8E"/>
    <w:rsid w:val="009133A1"/>
    <w:rsid w:val="0091779E"/>
    <w:rsid w:val="0092342A"/>
    <w:rsid w:val="00926E27"/>
    <w:rsid w:val="00930C03"/>
    <w:rsid w:val="00933B3C"/>
    <w:rsid w:val="00935133"/>
    <w:rsid w:val="009358F8"/>
    <w:rsid w:val="0093792D"/>
    <w:rsid w:val="00941E83"/>
    <w:rsid w:val="0094223D"/>
    <w:rsid w:val="00943158"/>
    <w:rsid w:val="009434BE"/>
    <w:rsid w:val="00952924"/>
    <w:rsid w:val="00956ED2"/>
    <w:rsid w:val="00957928"/>
    <w:rsid w:val="009600C1"/>
    <w:rsid w:val="009621F5"/>
    <w:rsid w:val="00965AA1"/>
    <w:rsid w:val="00981695"/>
    <w:rsid w:val="00985DD0"/>
    <w:rsid w:val="00991AF6"/>
    <w:rsid w:val="009A3670"/>
    <w:rsid w:val="009A45C9"/>
    <w:rsid w:val="009A4F42"/>
    <w:rsid w:val="009A62D1"/>
    <w:rsid w:val="009A7086"/>
    <w:rsid w:val="009B5507"/>
    <w:rsid w:val="009C0F8E"/>
    <w:rsid w:val="009C4A3C"/>
    <w:rsid w:val="009C6C82"/>
    <w:rsid w:val="009D0265"/>
    <w:rsid w:val="009F15F9"/>
    <w:rsid w:val="009F3562"/>
    <w:rsid w:val="009F46B8"/>
    <w:rsid w:val="009F5E93"/>
    <w:rsid w:val="00A10CE1"/>
    <w:rsid w:val="00A111D6"/>
    <w:rsid w:val="00A141B8"/>
    <w:rsid w:val="00A20890"/>
    <w:rsid w:val="00A252BE"/>
    <w:rsid w:val="00A25F41"/>
    <w:rsid w:val="00A277B2"/>
    <w:rsid w:val="00A33675"/>
    <w:rsid w:val="00A33A59"/>
    <w:rsid w:val="00A35963"/>
    <w:rsid w:val="00A3606E"/>
    <w:rsid w:val="00A41315"/>
    <w:rsid w:val="00A4497B"/>
    <w:rsid w:val="00A51974"/>
    <w:rsid w:val="00A52CE0"/>
    <w:rsid w:val="00A61406"/>
    <w:rsid w:val="00A62159"/>
    <w:rsid w:val="00A63CC1"/>
    <w:rsid w:val="00A67C2A"/>
    <w:rsid w:val="00A73435"/>
    <w:rsid w:val="00A768BF"/>
    <w:rsid w:val="00A94137"/>
    <w:rsid w:val="00AB446A"/>
    <w:rsid w:val="00AC0CD7"/>
    <w:rsid w:val="00AD033D"/>
    <w:rsid w:val="00AD33B7"/>
    <w:rsid w:val="00AF21FB"/>
    <w:rsid w:val="00AF5A00"/>
    <w:rsid w:val="00B03245"/>
    <w:rsid w:val="00B0693D"/>
    <w:rsid w:val="00B1651C"/>
    <w:rsid w:val="00B20E14"/>
    <w:rsid w:val="00B33DAC"/>
    <w:rsid w:val="00B4153C"/>
    <w:rsid w:val="00B44728"/>
    <w:rsid w:val="00B470A6"/>
    <w:rsid w:val="00B53D13"/>
    <w:rsid w:val="00B764B5"/>
    <w:rsid w:val="00B800C1"/>
    <w:rsid w:val="00B80842"/>
    <w:rsid w:val="00B86399"/>
    <w:rsid w:val="00B93B90"/>
    <w:rsid w:val="00BA48F1"/>
    <w:rsid w:val="00BC3E92"/>
    <w:rsid w:val="00BD12A3"/>
    <w:rsid w:val="00BD2D3E"/>
    <w:rsid w:val="00BD7FE7"/>
    <w:rsid w:val="00BE42B6"/>
    <w:rsid w:val="00BF5925"/>
    <w:rsid w:val="00C10411"/>
    <w:rsid w:val="00C12B7C"/>
    <w:rsid w:val="00C13476"/>
    <w:rsid w:val="00C17346"/>
    <w:rsid w:val="00C27C89"/>
    <w:rsid w:val="00C27D84"/>
    <w:rsid w:val="00C30735"/>
    <w:rsid w:val="00C346C1"/>
    <w:rsid w:val="00C44589"/>
    <w:rsid w:val="00C45C5E"/>
    <w:rsid w:val="00C46B75"/>
    <w:rsid w:val="00C60E08"/>
    <w:rsid w:val="00C6258F"/>
    <w:rsid w:val="00C64DC4"/>
    <w:rsid w:val="00C80103"/>
    <w:rsid w:val="00C81284"/>
    <w:rsid w:val="00C8206B"/>
    <w:rsid w:val="00C85168"/>
    <w:rsid w:val="00C85364"/>
    <w:rsid w:val="00C935D8"/>
    <w:rsid w:val="00CA17EF"/>
    <w:rsid w:val="00CA55F9"/>
    <w:rsid w:val="00CB01F5"/>
    <w:rsid w:val="00CB056E"/>
    <w:rsid w:val="00CB26C4"/>
    <w:rsid w:val="00CB2D78"/>
    <w:rsid w:val="00CD5B49"/>
    <w:rsid w:val="00CF2824"/>
    <w:rsid w:val="00D0153E"/>
    <w:rsid w:val="00D114E3"/>
    <w:rsid w:val="00D13D82"/>
    <w:rsid w:val="00D21C3C"/>
    <w:rsid w:val="00D31B43"/>
    <w:rsid w:val="00D37640"/>
    <w:rsid w:val="00D4278C"/>
    <w:rsid w:val="00D5081F"/>
    <w:rsid w:val="00D517A5"/>
    <w:rsid w:val="00D51A52"/>
    <w:rsid w:val="00D526CC"/>
    <w:rsid w:val="00D52837"/>
    <w:rsid w:val="00D61C67"/>
    <w:rsid w:val="00D67360"/>
    <w:rsid w:val="00D76979"/>
    <w:rsid w:val="00D9036F"/>
    <w:rsid w:val="00DB174D"/>
    <w:rsid w:val="00DB3D43"/>
    <w:rsid w:val="00DB5937"/>
    <w:rsid w:val="00DB6C91"/>
    <w:rsid w:val="00DC393F"/>
    <w:rsid w:val="00DC3D60"/>
    <w:rsid w:val="00DC472E"/>
    <w:rsid w:val="00DC5281"/>
    <w:rsid w:val="00DD54D0"/>
    <w:rsid w:val="00DD75D9"/>
    <w:rsid w:val="00DF4EE2"/>
    <w:rsid w:val="00E029FD"/>
    <w:rsid w:val="00E15BB9"/>
    <w:rsid w:val="00E16C91"/>
    <w:rsid w:val="00E26FAD"/>
    <w:rsid w:val="00E37C35"/>
    <w:rsid w:val="00E5411E"/>
    <w:rsid w:val="00E5717F"/>
    <w:rsid w:val="00E57569"/>
    <w:rsid w:val="00E729F9"/>
    <w:rsid w:val="00E72E50"/>
    <w:rsid w:val="00E74B8A"/>
    <w:rsid w:val="00E76DF1"/>
    <w:rsid w:val="00E802D2"/>
    <w:rsid w:val="00E86B0C"/>
    <w:rsid w:val="00E87E27"/>
    <w:rsid w:val="00E96DF1"/>
    <w:rsid w:val="00EB2A27"/>
    <w:rsid w:val="00EC035A"/>
    <w:rsid w:val="00EC26A2"/>
    <w:rsid w:val="00EC3962"/>
    <w:rsid w:val="00EC54D2"/>
    <w:rsid w:val="00ED5138"/>
    <w:rsid w:val="00ED5A68"/>
    <w:rsid w:val="00ED6E89"/>
    <w:rsid w:val="00EE724E"/>
    <w:rsid w:val="00EF31D9"/>
    <w:rsid w:val="00EF41F4"/>
    <w:rsid w:val="00EF5525"/>
    <w:rsid w:val="00F01C63"/>
    <w:rsid w:val="00F131EB"/>
    <w:rsid w:val="00F20133"/>
    <w:rsid w:val="00F218D3"/>
    <w:rsid w:val="00F25E7C"/>
    <w:rsid w:val="00F42401"/>
    <w:rsid w:val="00F43D82"/>
    <w:rsid w:val="00F45840"/>
    <w:rsid w:val="00F52DB5"/>
    <w:rsid w:val="00F647A0"/>
    <w:rsid w:val="00F671AE"/>
    <w:rsid w:val="00F671B2"/>
    <w:rsid w:val="00F7266B"/>
    <w:rsid w:val="00F76B5D"/>
    <w:rsid w:val="00F77E5D"/>
    <w:rsid w:val="00F856FF"/>
    <w:rsid w:val="00F87187"/>
    <w:rsid w:val="00F90ED7"/>
    <w:rsid w:val="00F91BA8"/>
    <w:rsid w:val="00F9292B"/>
    <w:rsid w:val="00FA4E84"/>
    <w:rsid w:val="00FB5D8F"/>
    <w:rsid w:val="00FC3730"/>
    <w:rsid w:val="00FD2F5C"/>
    <w:rsid w:val="00FE7AB6"/>
    <w:rsid w:val="00FF1132"/>
    <w:rsid w:val="00FF1942"/>
  </w:rsids>
  <m:mathPr>
    <m:mathFont m:val="Cambria Math"/>
    <m:brkBin m:val="before"/>
    <m:brkBinSub m:val="--"/>
    <m:smallFrac m:val="0"/>
    <m:dispDef/>
    <m:lMargin m:val="0"/>
    <m:rMargin m:val="0"/>
    <m:defJc m:val="centerGroup"/>
    <m:wrapIndent m:val="1440"/>
    <m:intLim m:val="subSup"/>
    <m:naryLim m:val="undOvr"/>
  </m:mathPr>
  <w:themeFontLang w:val="en-US" w:eastAsia="zh-CN" w:bidi="x-non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5045E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rsid w:val="00386A6E"/>
    <w:rPr>
      <w:rFonts w:ascii="Calibri" w:eastAsia="Calibri" w:hAnsi="Calibri" w:cs="Calibri"/>
    </w:rPr>
  </w:style>
  <w:style w:type="paragraph" w:styleId="Heading3">
    <w:name w:val="heading 3"/>
    <w:basedOn w:val="Normal"/>
    <w:next w:val="Normal"/>
    <w:link w:val="Heading3Char"/>
    <w:uiPriority w:val="9"/>
    <w:unhideWhenUsed/>
    <w:qFormat/>
    <w:rsid w:val="00603CE6"/>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C27C89"/>
    <w:pPr>
      <w:spacing w:before="100" w:beforeAutospacing="1" w:after="100" w:afterAutospacing="1"/>
    </w:pPr>
    <w:rPr>
      <w:rFonts w:ascii="Times New Roman" w:eastAsiaTheme="minorEastAsia" w:hAnsi="Times New Roman" w:cs="Times New Roman"/>
    </w:rPr>
  </w:style>
  <w:style w:type="character" w:customStyle="1" w:styleId="Heading3Char">
    <w:name w:val="Heading 3 Char"/>
    <w:basedOn w:val="DefaultParagraphFont"/>
    <w:link w:val="Heading3"/>
    <w:uiPriority w:val="9"/>
    <w:rsid w:val="00603CE6"/>
    <w:rPr>
      <w:rFonts w:asciiTheme="majorHAnsi" w:eastAsiaTheme="majorEastAsia" w:hAnsiTheme="majorHAnsi" w:cstheme="majorBidi"/>
      <w:color w:val="1F3763" w:themeColor="accent1" w:themeShade="7F"/>
    </w:rPr>
  </w:style>
  <w:style w:type="paragraph" w:styleId="Caption">
    <w:name w:val="caption"/>
    <w:basedOn w:val="Normal"/>
    <w:next w:val="Normal"/>
    <w:uiPriority w:val="35"/>
    <w:unhideWhenUsed/>
    <w:qFormat/>
    <w:rsid w:val="00345528"/>
    <w:pPr>
      <w:spacing w:after="200"/>
      <w:jc w:val="both"/>
    </w:pPr>
    <w:rPr>
      <w:rFonts w:ascii="Times New Roman" w:eastAsia="Times New Roman" w:hAnsi="Times New Roman" w:cs="Times New Roman"/>
      <w:b/>
      <w:bCs/>
      <w:sz w:val="18"/>
      <w:szCs w:val="18"/>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8964803">
      <w:bodyDiv w:val="1"/>
      <w:marLeft w:val="0"/>
      <w:marRight w:val="0"/>
      <w:marTop w:val="0"/>
      <w:marBottom w:val="0"/>
      <w:divBdr>
        <w:top w:val="none" w:sz="0" w:space="0" w:color="auto"/>
        <w:left w:val="none" w:sz="0" w:space="0" w:color="auto"/>
        <w:bottom w:val="none" w:sz="0" w:space="0" w:color="auto"/>
        <w:right w:val="none" w:sz="0" w:space="0" w:color="auto"/>
      </w:divBdr>
    </w:div>
    <w:div w:id="487720304">
      <w:bodyDiv w:val="1"/>
      <w:marLeft w:val="0"/>
      <w:marRight w:val="0"/>
      <w:marTop w:val="0"/>
      <w:marBottom w:val="0"/>
      <w:divBdr>
        <w:top w:val="none" w:sz="0" w:space="0" w:color="auto"/>
        <w:left w:val="none" w:sz="0" w:space="0" w:color="auto"/>
        <w:bottom w:val="none" w:sz="0" w:space="0" w:color="auto"/>
        <w:right w:val="none" w:sz="0" w:space="0" w:color="auto"/>
      </w:divBdr>
    </w:div>
    <w:div w:id="498732399">
      <w:bodyDiv w:val="1"/>
      <w:marLeft w:val="0"/>
      <w:marRight w:val="0"/>
      <w:marTop w:val="0"/>
      <w:marBottom w:val="0"/>
      <w:divBdr>
        <w:top w:val="none" w:sz="0" w:space="0" w:color="auto"/>
        <w:left w:val="none" w:sz="0" w:space="0" w:color="auto"/>
        <w:bottom w:val="none" w:sz="0" w:space="0" w:color="auto"/>
        <w:right w:val="none" w:sz="0" w:space="0" w:color="auto"/>
      </w:divBdr>
    </w:div>
    <w:div w:id="535697832">
      <w:bodyDiv w:val="1"/>
      <w:marLeft w:val="0"/>
      <w:marRight w:val="0"/>
      <w:marTop w:val="0"/>
      <w:marBottom w:val="0"/>
      <w:divBdr>
        <w:top w:val="none" w:sz="0" w:space="0" w:color="auto"/>
        <w:left w:val="none" w:sz="0" w:space="0" w:color="auto"/>
        <w:bottom w:val="none" w:sz="0" w:space="0" w:color="auto"/>
        <w:right w:val="none" w:sz="0" w:space="0" w:color="auto"/>
      </w:divBdr>
    </w:div>
    <w:div w:id="16071498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pixelsPerInch w:val="96"/>
</w:webSettings>
</file>

<file path=word/_rels/document.xml.rels><?xml version="1.0" encoding="UTF-8" standalone="yes"?>
<Relationships xmlns="http://schemas.openxmlformats.org/package/2006/relationships"><Relationship Id="rId20" Type="http://schemas.openxmlformats.org/officeDocument/2006/relationships/image" Target="media/image10.png"/><Relationship Id="rId21" Type="http://schemas.openxmlformats.org/officeDocument/2006/relationships/image" Target="media/image11.png"/><Relationship Id="rId22" Type="http://schemas.openxmlformats.org/officeDocument/2006/relationships/image" Target="media/image12.png"/><Relationship Id="rId23" Type="http://schemas.openxmlformats.org/officeDocument/2006/relationships/image" Target="media/image13.emf"/><Relationship Id="rId24" Type="http://schemas.openxmlformats.org/officeDocument/2006/relationships/image" Target="media/image14.png"/><Relationship Id="rId25" Type="http://schemas.openxmlformats.org/officeDocument/2006/relationships/image" Target="media/image15.png"/><Relationship Id="rId26" Type="http://schemas.openxmlformats.org/officeDocument/2006/relationships/image" Target="media/image16.emf"/><Relationship Id="rId27" Type="http://schemas.openxmlformats.org/officeDocument/2006/relationships/image" Target="media/image17.tif"/><Relationship Id="rId28" Type="http://schemas.openxmlformats.org/officeDocument/2006/relationships/image" Target="media/image18.emf"/><Relationship Id="rId29" Type="http://schemas.openxmlformats.org/officeDocument/2006/relationships/image" Target="media/image19.emf"/><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30" Type="http://schemas.openxmlformats.org/officeDocument/2006/relationships/image" Target="media/image20.tiff"/><Relationship Id="rId31" Type="http://schemas.openxmlformats.org/officeDocument/2006/relationships/image" Target="media/image21.emf"/><Relationship Id="rId32" Type="http://schemas.openxmlformats.org/officeDocument/2006/relationships/image" Target="media/image22.png"/><Relationship Id="rId9" Type="http://schemas.openxmlformats.org/officeDocument/2006/relationships/footer" Target="footer1.xml"/><Relationship Id="rId6" Type="http://schemas.openxmlformats.org/officeDocument/2006/relationships/hyperlink" Target="https://lpdaac.usgs.gov/products/mcd12c1v006/" TargetMode="External"/><Relationship Id="rId7" Type="http://schemas.openxmlformats.org/officeDocument/2006/relationships/header" Target="header1.xml"/><Relationship Id="rId8" Type="http://schemas.openxmlformats.org/officeDocument/2006/relationships/header" Target="header2.xml"/><Relationship Id="rId33" Type="http://schemas.openxmlformats.org/officeDocument/2006/relationships/fontTable" Target="fontTable.xml"/><Relationship Id="rId34" Type="http://schemas.openxmlformats.org/officeDocument/2006/relationships/theme" Target="theme/theme1.xml"/><Relationship Id="rId10" Type="http://schemas.openxmlformats.org/officeDocument/2006/relationships/footer" Target="footer2.xml"/><Relationship Id="rId11" Type="http://schemas.openxmlformats.org/officeDocument/2006/relationships/image" Target="media/image1.emf"/><Relationship Id="rId12" Type="http://schemas.openxmlformats.org/officeDocument/2006/relationships/image" Target="media/image2.png"/><Relationship Id="rId13" Type="http://schemas.openxmlformats.org/officeDocument/2006/relationships/image" Target="media/image3.emf"/><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emf"/><Relationship Id="rId17" Type="http://schemas.openxmlformats.org/officeDocument/2006/relationships/image" Target="media/image7.png"/><Relationship Id="rId18" Type="http://schemas.openxmlformats.org/officeDocument/2006/relationships/image" Target="media/image8.png"/><Relationship Id="rId19" Type="http://schemas.openxmlformats.org/officeDocument/2006/relationships/image" Target="media/image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201</TotalTime>
  <Pages>37</Pages>
  <Words>8868</Words>
  <Characters>50552</Characters>
  <Application>Microsoft Macintosh Word</Application>
  <DocSecurity>0</DocSecurity>
  <Lines>421</Lines>
  <Paragraphs>118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59302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yan sun</dc:creator>
  <cp:keywords/>
  <dc:description/>
  <cp:lastModifiedBy>yan sun</cp:lastModifiedBy>
  <cp:revision>501</cp:revision>
  <cp:lastPrinted>2020-12-31T16:28:00Z</cp:lastPrinted>
  <dcterms:created xsi:type="dcterms:W3CDTF">2020-04-05T13:14:00Z</dcterms:created>
  <dcterms:modified xsi:type="dcterms:W3CDTF">2021-04-01T12:24:00Z</dcterms:modified>
</cp:coreProperties>
</file>